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b/>
          <w:b/>
          <w:sz w:val="36"/>
          <w:szCs w:val="36"/>
        </w:rPr>
      </w:pPr>
      <w:r>
        <w:rPr>
          <w:b/>
          <w:sz w:val="36"/>
          <w:szCs w:val="36"/>
        </w:rPr>
        <w:t>VŠB – Technická univerzita Ostrava</w:t>
      </w:r>
    </w:p>
    <w:p>
      <w:pPr>
        <w:pStyle w:val="Normal"/>
        <w:jc w:val="center"/>
        <w:rPr>
          <w:b/>
          <w:b/>
          <w:sz w:val="32"/>
          <w:szCs w:val="32"/>
        </w:rPr>
      </w:pPr>
      <w:r>
        <w:rPr>
          <w:b/>
          <w:sz w:val="32"/>
          <w:szCs w:val="32"/>
        </w:rPr>
        <w:t>Fakulta elektrotechniky a informatiky</w:t>
      </w:r>
    </w:p>
    <w:p>
      <w:pPr>
        <w:pStyle w:val="Normal"/>
        <w:jc w:val="center"/>
        <w:rPr>
          <w:b/>
          <w:b/>
          <w:sz w:val="36"/>
          <w:szCs w:val="36"/>
        </w:rPr>
      </w:pPr>
      <w:r>
        <w:rPr>
          <w:b/>
          <w:sz w:val="36"/>
          <w:szCs w:val="36"/>
        </w:rPr>
      </w:r>
    </w:p>
    <w:p>
      <w:pPr>
        <w:pStyle w:val="Normal"/>
        <w:jc w:val="center"/>
        <w:rPr>
          <w:b/>
          <w:b/>
          <w:sz w:val="36"/>
          <w:szCs w:val="36"/>
        </w:rPr>
      </w:pPr>
      <w:r>
        <w:rPr>
          <w:b/>
          <w:sz w:val="36"/>
          <w:szCs w:val="36"/>
        </w:rPr>
      </w:r>
    </w:p>
    <w:p>
      <w:pPr>
        <w:pStyle w:val="Normal"/>
        <w:jc w:val="center"/>
        <w:rPr>
          <w:b/>
          <w:b/>
          <w:sz w:val="28"/>
          <w:szCs w:val="28"/>
        </w:rPr>
      </w:pPr>
      <w:r>
        <w:rPr>
          <w:b/>
          <w:sz w:val="28"/>
          <w:szCs w:val="28"/>
        </w:rPr>
        <w:t>PRAVDĚPODOBNOST A STATISTIKA</w:t>
      </w:r>
    </w:p>
    <w:p>
      <w:pPr>
        <w:pStyle w:val="Normal"/>
        <w:jc w:val="center"/>
        <w:rPr>
          <w:b/>
          <w:b/>
          <w:sz w:val="28"/>
          <w:szCs w:val="28"/>
        </w:rPr>
      </w:pPr>
      <w:r>
        <w:rPr>
          <w:b/>
          <w:sz w:val="32"/>
          <w:szCs w:val="32"/>
        </w:rPr>
        <w:t>Ostrava, AR 2018/2019</w:t>
      </w:r>
    </w:p>
    <w:p>
      <w:pPr>
        <w:pStyle w:val="Normal"/>
        <w:jc w:val="center"/>
        <w:rPr/>
      </w:pPr>
      <w:r>
        <w:rPr>
          <w:b/>
          <w:sz w:val="28"/>
          <w:szCs w:val="28"/>
        </w:rPr>
        <w:t>Zadání 16</w:t>
      </w:r>
    </w:p>
    <w:p>
      <w:pPr>
        <w:pStyle w:val="Normal"/>
        <w:jc w:val="center"/>
        <w:rPr>
          <w:b/>
          <w:b/>
          <w:sz w:val="28"/>
          <w:szCs w:val="28"/>
        </w:rPr>
      </w:pPr>
      <w:r>
        <w:rPr>
          <w:b/>
          <w:sz w:val="28"/>
          <w:szCs w:val="28"/>
        </w:rPr>
      </w:r>
    </w:p>
    <w:tbl>
      <w:tblPr>
        <w:tblW w:w="9062" w:type="dxa"/>
        <w:jc w:val="left"/>
        <w:tblInd w:w="0" w:type="dxa"/>
        <w:tblBorders/>
        <w:tblCellMar>
          <w:top w:w="0" w:type="dxa"/>
          <w:left w:w="108" w:type="dxa"/>
          <w:bottom w:w="0" w:type="dxa"/>
          <w:right w:w="108" w:type="dxa"/>
        </w:tblCellMar>
        <w:tblLook w:noVBand="1" w:val="04a0" w:noHBand="0" w:lastColumn="0" w:firstColumn="1" w:lastRow="0" w:firstRow="1"/>
      </w:tblPr>
      <w:tblGrid>
        <w:gridCol w:w="3536"/>
        <w:gridCol w:w="5525"/>
      </w:tblGrid>
      <w:tr>
        <w:trPr/>
        <w:tc>
          <w:tcPr>
            <w:tcW w:w="3536" w:type="dxa"/>
            <w:tcBorders/>
            <w:shd w:fill="auto" w:val="clear"/>
          </w:tcPr>
          <w:p>
            <w:pPr>
              <w:pStyle w:val="Normal"/>
              <w:spacing w:lineRule="auto" w:line="240" w:before="0" w:after="120"/>
              <w:rPr>
                <w:smallCaps/>
                <w:sz w:val="28"/>
                <w:szCs w:val="28"/>
              </w:rPr>
            </w:pPr>
            <w:r>
              <w:rPr>
                <w:smallCaps/>
                <w:sz w:val="28"/>
                <w:szCs w:val="28"/>
              </w:rPr>
              <w:t>Jméno studentky/studenta:</w:t>
            </w:r>
          </w:p>
        </w:tc>
        <w:tc>
          <w:tcPr>
            <w:tcW w:w="5525" w:type="dxa"/>
            <w:tcBorders/>
            <w:shd w:fill="auto" w:val="clear"/>
          </w:tcPr>
          <w:p>
            <w:pPr>
              <w:pStyle w:val="Normal"/>
              <w:spacing w:lineRule="auto" w:line="240" w:before="0" w:after="120"/>
              <w:jc w:val="center"/>
              <w:rPr>
                <w:smallCaps/>
                <w:sz w:val="28"/>
                <w:szCs w:val="28"/>
              </w:rPr>
            </w:pPr>
            <w:r>
              <w:rPr>
                <w:smallCaps/>
                <w:sz w:val="28"/>
                <w:szCs w:val="28"/>
              </w:rPr>
            </w:r>
          </w:p>
        </w:tc>
      </w:tr>
      <w:tr>
        <w:trPr>
          <w:trHeight w:val="638" w:hRule="atLeast"/>
        </w:trPr>
        <w:tc>
          <w:tcPr>
            <w:tcW w:w="3536" w:type="dxa"/>
            <w:tcBorders/>
            <w:shd w:fill="auto" w:val="clear"/>
          </w:tcPr>
          <w:p>
            <w:pPr>
              <w:pStyle w:val="Normal"/>
              <w:spacing w:lineRule="auto" w:line="240" w:before="0" w:after="120"/>
              <w:rPr>
                <w:smallCaps/>
                <w:sz w:val="28"/>
                <w:szCs w:val="28"/>
              </w:rPr>
            </w:pPr>
            <w:r>
              <w:rPr>
                <w:smallCaps/>
                <w:sz w:val="28"/>
                <w:szCs w:val="28"/>
              </w:rPr>
              <w:t>Osobní číslo:</w:t>
            </w:r>
          </w:p>
        </w:tc>
        <w:tc>
          <w:tcPr>
            <w:tcW w:w="5525" w:type="dxa"/>
            <w:tcBorders/>
            <w:shd w:fill="auto" w:val="clear"/>
          </w:tcPr>
          <w:p>
            <w:pPr>
              <w:pStyle w:val="Normal"/>
              <w:spacing w:lineRule="auto" w:line="240" w:before="0" w:after="120"/>
              <w:jc w:val="center"/>
              <w:rPr>
                <w:smallCaps/>
                <w:sz w:val="28"/>
                <w:szCs w:val="28"/>
              </w:rPr>
            </w:pPr>
            <w:r>
              <w:rPr>
                <w:smallCaps/>
                <w:sz w:val="28"/>
                <w:szCs w:val="28"/>
              </w:rPr>
            </w:r>
          </w:p>
        </w:tc>
      </w:tr>
      <w:tr>
        <w:trPr>
          <w:trHeight w:val="630" w:hRule="atLeast"/>
        </w:trPr>
        <w:tc>
          <w:tcPr>
            <w:tcW w:w="3536" w:type="dxa"/>
            <w:tcBorders/>
            <w:shd w:fill="auto" w:val="clear"/>
          </w:tcPr>
          <w:p>
            <w:pPr>
              <w:pStyle w:val="Normal"/>
              <w:spacing w:lineRule="auto" w:line="240" w:before="0" w:after="120"/>
              <w:rPr>
                <w:smallCaps/>
                <w:sz w:val="28"/>
                <w:szCs w:val="28"/>
              </w:rPr>
            </w:pPr>
            <w:r>
              <w:rPr>
                <w:smallCaps/>
                <w:sz w:val="28"/>
                <w:szCs w:val="28"/>
              </w:rPr>
              <w:t>Jméno cvičící/cvičícího:</w:t>
            </w:r>
          </w:p>
        </w:tc>
        <w:tc>
          <w:tcPr>
            <w:tcW w:w="5525" w:type="dxa"/>
            <w:tcBorders/>
            <w:shd w:fill="auto" w:val="clear"/>
          </w:tcPr>
          <w:p>
            <w:pPr>
              <w:pStyle w:val="Normal"/>
              <w:spacing w:lineRule="auto" w:line="240" w:before="0" w:after="120"/>
              <w:jc w:val="center"/>
              <w:rPr>
                <w:smallCaps/>
                <w:sz w:val="28"/>
                <w:szCs w:val="28"/>
              </w:rPr>
            </w:pPr>
            <w:r>
              <w:rPr>
                <w:smallCaps/>
                <w:sz w:val="28"/>
                <w:szCs w:val="28"/>
              </w:rPr>
            </w:r>
          </w:p>
        </w:tc>
      </w:tr>
    </w:tbl>
    <w:p>
      <w:pPr>
        <w:pStyle w:val="Normal"/>
        <w:spacing w:before="0" w:after="0"/>
        <w:rPr>
          <w:sz w:val="28"/>
          <w:szCs w:val="28"/>
        </w:rPr>
      </w:pPr>
      <w:r>
        <w:rPr>
          <w:sz w:val="28"/>
          <w:szCs w:val="28"/>
        </w:rPr>
      </w:r>
    </w:p>
    <w:p>
      <w:pPr>
        <w:pStyle w:val="Normal"/>
        <w:spacing w:before="0" w:after="0"/>
        <w:rPr>
          <w:sz w:val="28"/>
          <w:szCs w:val="28"/>
        </w:rPr>
      </w:pPr>
      <w:r>
        <w:rPr>
          <w:sz w:val="28"/>
          <w:szCs w:val="28"/>
        </w:rPr>
      </w:r>
    </w:p>
    <w:p>
      <w:pPr>
        <w:pStyle w:val="Normal"/>
        <w:spacing w:before="0" w:after="0"/>
        <w:rPr>
          <w:sz w:val="28"/>
          <w:szCs w:val="28"/>
        </w:rPr>
      </w:pPr>
      <w:r>
        <w:rPr>
          <w:sz w:val="28"/>
          <w:szCs w:val="28"/>
        </w:rPr>
      </w:r>
    </w:p>
    <w:p>
      <w:pPr>
        <w:pStyle w:val="Normal"/>
        <w:spacing w:before="0" w:after="0"/>
        <w:rPr>
          <w:sz w:val="28"/>
          <w:szCs w:val="28"/>
        </w:rPr>
      </w:pPr>
      <w:r>
        <w:rPr>
          <w:sz w:val="28"/>
          <w:szCs w:val="28"/>
        </w:rPr>
      </w:r>
    </w:p>
    <w:p>
      <w:pPr>
        <w:pStyle w:val="Normal"/>
        <w:spacing w:before="0" w:after="0"/>
        <w:rPr>
          <w:sz w:val="28"/>
          <w:szCs w:val="28"/>
        </w:rPr>
      </w:pPr>
      <w:r>
        <w:rPr>
          <w:sz w:val="28"/>
          <w:szCs w:val="28"/>
        </w:rPr>
      </w:r>
    </w:p>
    <w:p>
      <w:pPr>
        <w:pStyle w:val="Normal"/>
        <w:spacing w:before="0" w:after="0"/>
        <w:rPr>
          <w:sz w:val="28"/>
          <w:szCs w:val="28"/>
        </w:rPr>
      </w:pPr>
      <w:r>
        <w:rPr>
          <w:sz w:val="28"/>
          <w:szCs w:val="28"/>
        </w:rPr>
      </w:r>
    </w:p>
    <w:p>
      <w:pPr>
        <w:pStyle w:val="Normal"/>
        <w:spacing w:before="0" w:after="0"/>
        <w:rPr>
          <w:sz w:val="28"/>
          <w:szCs w:val="28"/>
        </w:rPr>
      </w:pPr>
      <w:r>
        <w:rPr>
          <w:sz w:val="28"/>
          <w:szCs w:val="28"/>
        </w:rPr>
      </w:r>
    </w:p>
    <w:tbl>
      <w:tblPr>
        <w:tblW w:w="9062"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1" w:val="04a0" w:noHBand="0" w:lastColumn="0" w:firstColumn="1" w:lastRow="0" w:firstRow="1"/>
      </w:tblPr>
      <w:tblGrid>
        <w:gridCol w:w="2385"/>
        <w:gridCol w:w="3160"/>
        <w:gridCol w:w="3517"/>
      </w:tblGrid>
      <w:tr>
        <w:trPr>
          <w:trHeight w:val="510" w:hRule="atLeast"/>
        </w:trPr>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28"/>
                <w:szCs w:val="28"/>
              </w:rPr>
            </w:pPr>
            <w:r>
              <w:rPr>
                <w:sz w:val="28"/>
                <w:szCs w:val="28"/>
              </w:rPr>
            </w:r>
          </w:p>
        </w:tc>
        <w:tc>
          <w:tcPr>
            <w:tcW w:w="31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smallCaps/>
                <w:sz w:val="28"/>
                <w:szCs w:val="28"/>
              </w:rPr>
              <w:t>Datum odevzdání</w:t>
            </w:r>
          </w:p>
        </w:tc>
        <w:tc>
          <w:tcPr>
            <w:tcW w:w="35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smallCaps/>
                <w:sz w:val="28"/>
                <w:szCs w:val="28"/>
              </w:rPr>
              <w:t>Hodnocení</w:t>
            </w:r>
          </w:p>
        </w:tc>
      </w:tr>
      <w:tr>
        <w:trPr>
          <w:trHeight w:val="570" w:hRule="atLeast"/>
        </w:trPr>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mallCaps/>
                <w:sz w:val="28"/>
                <w:szCs w:val="28"/>
              </w:rPr>
            </w:pPr>
            <w:r>
              <w:rPr>
                <w:smallCaps/>
                <w:sz w:val="28"/>
                <w:szCs w:val="28"/>
              </w:rPr>
              <w:t>Domácí úkol 1:</w:t>
            </w:r>
          </w:p>
        </w:tc>
        <w:tc>
          <w:tcPr>
            <w:tcW w:w="31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28"/>
                <w:szCs w:val="28"/>
              </w:rPr>
            </w:pPr>
            <w:r>
              <w:rPr>
                <w:sz w:val="28"/>
                <w:szCs w:val="28"/>
              </w:rPr>
            </w:r>
          </w:p>
        </w:tc>
        <w:tc>
          <w:tcPr>
            <w:tcW w:w="35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28"/>
                <w:szCs w:val="28"/>
              </w:rPr>
            </w:pPr>
            <w:r>
              <w:rPr>
                <w:sz w:val="28"/>
                <w:szCs w:val="28"/>
              </w:rPr>
            </w:r>
          </w:p>
        </w:tc>
      </w:tr>
      <w:tr>
        <w:trPr>
          <w:trHeight w:val="570" w:hRule="atLeast"/>
        </w:trPr>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mallCaps/>
                <w:sz w:val="28"/>
                <w:szCs w:val="28"/>
              </w:rPr>
            </w:pPr>
            <w:r>
              <w:rPr>
                <w:smallCaps/>
                <w:sz w:val="28"/>
                <w:szCs w:val="28"/>
              </w:rPr>
              <w:t>Domácí úkol 2:</w:t>
            </w:r>
          </w:p>
        </w:tc>
        <w:tc>
          <w:tcPr>
            <w:tcW w:w="31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28"/>
                <w:szCs w:val="28"/>
              </w:rPr>
            </w:pPr>
            <w:r>
              <w:rPr>
                <w:sz w:val="28"/>
                <w:szCs w:val="28"/>
              </w:rPr>
            </w:r>
          </w:p>
        </w:tc>
        <w:tc>
          <w:tcPr>
            <w:tcW w:w="35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28"/>
                <w:szCs w:val="28"/>
              </w:rPr>
            </w:pPr>
            <w:r>
              <w:rPr>
                <w:sz w:val="28"/>
                <w:szCs w:val="28"/>
              </w:rPr>
            </w:r>
          </w:p>
        </w:tc>
      </w:tr>
      <w:tr>
        <w:trPr>
          <w:trHeight w:val="615" w:hRule="atLeast"/>
        </w:trPr>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mallCaps/>
                <w:sz w:val="28"/>
                <w:szCs w:val="28"/>
              </w:rPr>
            </w:pPr>
            <w:r>
              <w:rPr>
                <w:smallCaps/>
                <w:sz w:val="28"/>
                <w:szCs w:val="28"/>
              </w:rPr>
              <w:t>Domácí úkol 3:</w:t>
            </w:r>
          </w:p>
        </w:tc>
        <w:tc>
          <w:tcPr>
            <w:tcW w:w="31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28"/>
                <w:szCs w:val="28"/>
              </w:rPr>
            </w:pPr>
            <w:r>
              <w:rPr>
                <w:sz w:val="28"/>
                <w:szCs w:val="28"/>
              </w:rPr>
            </w:r>
          </w:p>
        </w:tc>
        <w:tc>
          <w:tcPr>
            <w:tcW w:w="35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28"/>
                <w:szCs w:val="28"/>
              </w:rPr>
            </w:pPr>
            <w:r>
              <w:rPr>
                <w:sz w:val="28"/>
                <w:szCs w:val="28"/>
              </w:rPr>
            </w:r>
          </w:p>
        </w:tc>
      </w:tr>
      <w:tr>
        <w:trPr>
          <w:trHeight w:val="630" w:hRule="atLeast"/>
        </w:trPr>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mallCaps/>
                <w:sz w:val="28"/>
                <w:szCs w:val="28"/>
              </w:rPr>
            </w:pPr>
            <w:r>
              <w:rPr>
                <w:smallCaps/>
                <w:sz w:val="28"/>
                <w:szCs w:val="28"/>
              </w:rPr>
              <w:t>Domácí úkol 4:</w:t>
            </w:r>
          </w:p>
        </w:tc>
        <w:tc>
          <w:tcPr>
            <w:tcW w:w="31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28"/>
                <w:szCs w:val="28"/>
              </w:rPr>
            </w:pPr>
            <w:r>
              <w:rPr>
                <w:sz w:val="28"/>
                <w:szCs w:val="28"/>
              </w:rPr>
            </w:r>
          </w:p>
        </w:tc>
        <w:tc>
          <w:tcPr>
            <w:tcW w:w="35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28"/>
                <w:szCs w:val="28"/>
              </w:rPr>
            </w:pPr>
            <w:r>
              <w:rPr>
                <w:sz w:val="28"/>
                <w:szCs w:val="28"/>
              </w:rPr>
            </w:r>
          </w:p>
        </w:tc>
      </w:tr>
      <w:tr>
        <w:trPr/>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mallCaps/>
                <w:sz w:val="28"/>
                <w:szCs w:val="28"/>
              </w:rPr>
            </w:pPr>
            <w:r>
              <w:rPr>
                <w:smallCaps/>
                <w:sz w:val="28"/>
                <w:szCs w:val="28"/>
              </w:rPr>
              <w:t>Celkem:</w:t>
            </w:r>
          </w:p>
        </w:tc>
        <w:tc>
          <w:tcPr>
            <w:tcW w:w="31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mallCaps/>
                <w:sz w:val="28"/>
                <w:szCs w:val="28"/>
              </w:rPr>
            </w:pPr>
            <w:r>
              <w:rPr>
                <w:smallCaps/>
                <w:sz w:val="28"/>
                <w:szCs w:val="28"/>
              </w:rPr>
              <w:t xml:space="preserve">                </w:t>
            </w:r>
            <w:r>
              <w:rPr>
                <w:smallCaps/>
                <w:sz w:val="28"/>
                <w:szCs w:val="28"/>
              </w:rPr>
              <w:t>---------------------</w:t>
            </w:r>
          </w:p>
        </w:tc>
        <w:tc>
          <w:tcPr>
            <w:tcW w:w="35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28"/>
                <w:szCs w:val="28"/>
              </w:rPr>
            </w:pPr>
            <w:r>
              <w:rPr>
                <w:sz w:val="28"/>
                <w:szCs w:val="28"/>
              </w:rPr>
            </w:r>
          </w:p>
        </w:tc>
      </w:tr>
    </w:tbl>
    <w:p>
      <w:pPr>
        <w:pStyle w:val="Normal"/>
        <w:rPr>
          <w:b/>
          <w:b/>
        </w:rPr>
      </w:pPr>
      <w:r>
        <w:rPr>
          <w:b/>
        </w:rPr>
      </w:r>
      <w:r>
        <w:br w:type="page"/>
      </w:r>
    </w:p>
    <w:p>
      <w:pPr>
        <w:pStyle w:val="Normal"/>
        <w:rPr/>
      </w:pPr>
      <w:r>
        <w:rPr>
          <w:b/>
        </w:rPr>
        <w:t>Popis datového souboru</w:t>
      </w:r>
    </w:p>
    <w:p>
      <w:pPr>
        <w:pStyle w:val="Normal"/>
        <w:spacing w:before="0" w:after="0"/>
        <w:jc w:val="both"/>
        <w:rPr/>
      </w:pPr>
      <w:r>
        <w:rPr/>
        <w:t>Výrobce zubní pasty se rozhoduje jaký typ abrazivní složky (A1, A2, A3, A4) do pasty přidat. U abrazivní složky sledujeme velikost zrn (měřeno v nm) a výsledek testu chemické netečnosti (prošel/neprošel). Velikosti zrn abrazivní složky jsou pro každý vzorek zjišťovány automatem a manuálně pomocí mikroskopu.</w:t>
      </w:r>
    </w:p>
    <w:p>
      <w:pPr>
        <w:pStyle w:val="Normal"/>
        <w:spacing w:before="0" w:after="0"/>
        <w:jc w:val="both"/>
        <w:rPr/>
      </w:pPr>
      <w:r>
        <w:rPr/>
      </w:r>
    </w:p>
    <w:p>
      <w:pPr>
        <w:pStyle w:val="Normal"/>
        <w:jc w:val="both"/>
        <w:rPr/>
      </w:pPr>
      <w:r>
        <w:rPr/>
        <w:t xml:space="preserve">V souboru </w:t>
      </w:r>
      <w:r>
        <w:rPr>
          <w:rStyle w:val="InternetLink"/>
        </w:rPr>
        <w:t>ukol_</w:t>
      </w:r>
      <w:r>
        <w:rPr>
          <w:rStyle w:val="InternetLink"/>
        </w:rPr>
        <w:t>16</w:t>
      </w:r>
      <w:r>
        <w:rPr>
          <w:rStyle w:val="InternetLink"/>
        </w:rPr>
        <w:t>.xlsx</w:t>
      </w:r>
      <w:r>
        <w:rPr/>
        <w:t xml:space="preserve"> jsou pro každý vzorek abraziva uvedeny následující údaje: typ (A1, A2, A3, A4), výsledky měření automatem, výsledky manuálního měření a výsledek testu chemické netečnosti.</w:t>
      </w:r>
    </w:p>
    <w:p>
      <w:pPr>
        <w:pStyle w:val="Normal"/>
        <w:jc w:val="both"/>
        <w:rPr>
          <w:b/>
          <w:b/>
        </w:rPr>
      </w:pPr>
      <w:r>
        <w:rPr>
          <w:b/>
        </w:rPr>
      </w:r>
    </w:p>
    <w:p>
      <w:pPr>
        <w:pStyle w:val="Normal"/>
        <w:jc w:val="both"/>
        <w:rPr>
          <w:b/>
          <w:b/>
        </w:rPr>
      </w:pPr>
      <w:r>
        <w:rPr>
          <w:b/>
        </w:rPr>
        <w:t>Obecné pokyny:</w:t>
      </w:r>
    </w:p>
    <w:p>
      <w:pPr>
        <w:pStyle w:val="ListParagraph"/>
        <w:numPr>
          <w:ilvl w:val="0"/>
          <w:numId w:val="1"/>
        </w:numPr>
        <w:ind w:left="357" w:hanging="357"/>
        <w:jc w:val="both"/>
        <w:rPr/>
      </w:pPr>
      <w:r>
        <w:rPr/>
        <w:t>Úkoly zpracujte dle obecně známých typografických pravidel.</w:t>
      </w:r>
    </w:p>
    <w:p>
      <w:pPr>
        <w:pStyle w:val="ListParagraph"/>
        <w:numPr>
          <w:ilvl w:val="0"/>
          <w:numId w:val="1"/>
        </w:numPr>
        <w:ind w:left="357" w:hanging="357"/>
        <w:jc w:val="both"/>
        <w:rPr/>
      </w:pPr>
      <w:r>
        <w:rPr>
          <w:b/>
        </w:rPr>
        <w:t>Všechny</w:t>
      </w:r>
      <w:r>
        <w:rPr/>
        <w:t xml:space="preserve"> tabulky i obrázky musí být opatřeny titulkem.</w:t>
      </w:r>
    </w:p>
    <w:p>
      <w:pPr>
        <w:pStyle w:val="ListParagraph"/>
        <w:numPr>
          <w:ilvl w:val="0"/>
          <w:numId w:val="1"/>
        </w:numPr>
        <w:ind w:left="357" w:hanging="357"/>
        <w:jc w:val="both"/>
        <w:rPr/>
      </w:pPr>
      <w:r>
        <w:rPr/>
        <w:t>Do úkolů nevkládejte tabulky a obrázky, na něž se v doprovodném textu nebudete odkazovat.</w:t>
      </w:r>
    </w:p>
    <w:p>
      <w:pPr>
        <w:pStyle w:val="ListParagraph"/>
        <w:numPr>
          <w:ilvl w:val="0"/>
          <w:numId w:val="1"/>
        </w:numPr>
        <w:ind w:left="357" w:hanging="357"/>
        <w:jc w:val="both"/>
        <w:rPr/>
      </w:pPr>
      <w:r>
        <w:rPr/>
        <w:t>Bude-li to potřeba, citujte zdroje dle mezinárodně platné citační normy ČSN ISO 690.</w:t>
      </w:r>
    </w:p>
    <w:p>
      <w:pPr>
        <w:pStyle w:val="Normal"/>
        <w:rPr/>
      </w:pPr>
      <w:r>
        <w:rPr/>
      </w:r>
      <w:r>
        <w:br w:type="page"/>
      </w:r>
    </w:p>
    <w:p>
      <w:pPr>
        <w:pStyle w:val="Normal"/>
        <w:rPr/>
      </w:pPr>
      <w:r>
        <w:rPr>
          <w:b/>
        </w:rPr>
        <w:t>Úkol 1.</w:t>
      </w:r>
    </w:p>
    <w:p>
      <w:pPr>
        <w:pStyle w:val="ListParagraph"/>
        <w:numPr>
          <w:ilvl w:val="0"/>
          <w:numId w:val="2"/>
        </w:numPr>
        <w:suppressAutoHyphens w:val="false"/>
        <w:spacing w:lineRule="auto" w:line="259" w:before="0" w:after="160"/>
        <w:ind w:left="357" w:hanging="357"/>
        <w:contextualSpacing/>
        <w:jc w:val="both"/>
        <w:textAlignment w:val="auto"/>
        <w:rPr/>
      </w:pPr>
      <w:r>
        <w:rPr/>
        <w:t xml:space="preserve">Popište strukturu datového souboru, tj. počty testovaných vzorků dle jednotlivých typů abraziva. Použijte </w:t>
      </w:r>
      <w:r>
        <w:rPr>
          <w:b/>
          <w:bCs/>
        </w:rPr>
        <w:t>tabulku četností</w:t>
      </w:r>
      <w:r>
        <w:rPr/>
        <w:t xml:space="preserve"> a výsledky </w:t>
      </w:r>
      <w:r>
        <w:rPr>
          <w:b/>
          <w:bCs/>
        </w:rPr>
        <w:t>vhodným způsobem vizualizujte</w:t>
      </w:r>
      <w:r>
        <w:rPr/>
        <w:t>.</w:t>
      </w:r>
    </w:p>
    <w:p>
      <w:pPr>
        <w:pStyle w:val="ListParagraph"/>
        <w:numPr>
          <w:ilvl w:val="0"/>
          <w:numId w:val="2"/>
        </w:numPr>
        <w:ind w:left="357" w:hanging="357"/>
        <w:jc w:val="both"/>
        <w:rPr/>
      </w:pPr>
      <w:r>
        <w:rPr>
          <w:bCs/>
        </w:rPr>
        <w:t xml:space="preserve">Pomocí nástrojů explorační analýzy srovnejte </w:t>
      </w:r>
      <w:r>
        <w:rPr>
          <w:b/>
          <w:bCs/>
        </w:rPr>
        <w:t>velikosti zrn typu A1 a typu A2</w:t>
      </w:r>
      <w:r>
        <w:rPr/>
        <w:t xml:space="preserve"> </w:t>
      </w:r>
      <w:r>
        <w:rPr>
          <w:b/>
          <w:bCs/>
        </w:rPr>
        <w:t>měřených automaticky</w:t>
      </w:r>
      <w:r>
        <w:rPr>
          <w:bCs/>
        </w:rPr>
        <w:t xml:space="preserve">. Data vhodně </w:t>
      </w:r>
      <w:r>
        <w:rPr>
          <w:b/>
          <w:bCs/>
        </w:rPr>
        <w:t>graficky prezentujte</w:t>
      </w:r>
      <w:r>
        <w:rPr>
          <w:bCs/>
        </w:rPr>
        <w:t xml:space="preserve"> (vícenásobný krabicový graf, histogram, q-q graf) a doplňte následující tabulky a text.</w:t>
      </w:r>
    </w:p>
    <w:p>
      <w:pPr>
        <w:pStyle w:val="ListParagraph"/>
        <w:numPr>
          <w:ilvl w:val="0"/>
          <w:numId w:val="0"/>
        </w:numPr>
        <w:ind w:left="0" w:hanging="0"/>
        <w:jc w:val="both"/>
        <w:rPr>
          <w:bCs/>
        </w:rPr>
      </w:pPr>
      <w:r>
        <w:rPr>
          <w:bCs/>
        </w:rPr>
      </w:r>
    </w:p>
    <w:p>
      <w:pPr>
        <w:pStyle w:val="Caption1"/>
        <w:keepNext w:val="true"/>
        <w:spacing w:before="0" w:after="0"/>
        <w:jc w:val="center"/>
        <w:rPr/>
      </w:pPr>
      <w:bookmarkStart w:id="0" w:name="_Ref443390283"/>
      <w:r>
        <w:rPr/>
        <w:t xml:space="preserve">Tab. </w:t>
      </w:r>
      <w:r>
        <w:rPr/>
        <w:fldChar w:fldCharType="begin"/>
      </w:r>
      <w:r>
        <w:rPr/>
        <w:instrText> SEQ Tab. \* ARABIC </w:instrText>
      </w:r>
      <w:r>
        <w:rPr/>
        <w:fldChar w:fldCharType="separate"/>
      </w:r>
      <w:r>
        <w:rPr/>
        <w:t>1</w:t>
      </w:r>
      <w:r>
        <w:rPr/>
        <w:fldChar w:fldCharType="end"/>
      </w:r>
      <w:bookmarkEnd w:id="0"/>
      <w:r>
        <w:rPr/>
        <w:t>: Výběrové charakteristiky velikost zrn abrazivní složky (nm) typu A1 a typu A2</w:t>
      </w:r>
    </w:p>
    <w:p>
      <w:pPr>
        <w:pStyle w:val="ListParagraph"/>
        <w:spacing w:before="0" w:after="0"/>
        <w:rPr>
          <w:rFonts w:eastAsia="Times New Roman"/>
          <w:b/>
          <w:b/>
          <w:bCs/>
          <w:color w:val="FFFFFF"/>
          <w:lang w:eastAsia="cs-CZ"/>
        </w:rPr>
      </w:pPr>
      <w:r>
        <w:rPr>
          <w:rFonts w:eastAsia="Times New Roman"/>
          <w:b/>
          <w:bCs/>
          <w:color w:val="FFFFFF"/>
          <w:lang w:eastAsia="cs-CZ"/>
        </w:rPr>
        <w:t>o</w:t>
      </w:r>
    </w:p>
    <w:tbl>
      <w:tblPr>
        <w:tblW w:w="8664" w:type="dxa"/>
        <w:jc w:val="center"/>
        <w:tblInd w:w="0" w:type="dxa"/>
        <w:tblBorders>
          <w:top w:val="single" w:sz="4" w:space="0" w:color="000000"/>
          <w:left w:val="single" w:sz="4" w:space="0" w:color="000000"/>
          <w:bottom w:val="single" w:sz="4" w:space="0" w:color="000000"/>
          <w:insideH w:val="single" w:sz="4" w:space="0" w:color="000000"/>
        </w:tblBorders>
        <w:tblCellMar>
          <w:top w:w="55" w:type="dxa"/>
          <w:left w:w="55" w:type="dxa"/>
          <w:bottom w:w="55" w:type="dxa"/>
          <w:right w:w="55" w:type="dxa"/>
        </w:tblCellMar>
        <w:tblLook w:noVBand="1" w:val="04a0" w:noHBand="0" w:lastColumn="0" w:firstColumn="1" w:lastRow="0" w:firstRow="1"/>
      </w:tblPr>
      <w:tblGrid>
        <w:gridCol w:w="2263"/>
        <w:gridCol w:w="1602"/>
        <w:gridCol w:w="1517"/>
        <w:gridCol w:w="61"/>
        <w:gridCol w:w="1664"/>
        <w:gridCol w:w="1556"/>
      </w:tblGrid>
      <w:tr>
        <w:trPr>
          <w:trHeight w:val="300" w:hRule="atLeast"/>
        </w:trPr>
        <w:tc>
          <w:tcPr>
            <w:tcW w:w="5382" w:type="dxa"/>
            <w:gridSpan w:val="3"/>
            <w:tcBorders>
              <w:top w:val="single" w:sz="4" w:space="0" w:color="000000"/>
              <w:left w:val="single" w:sz="4" w:space="0" w:color="000000"/>
              <w:bottom w:val="single" w:sz="4" w:space="0" w:color="000000"/>
              <w:insideH w:val="single" w:sz="4" w:space="0" w:color="000000"/>
            </w:tcBorders>
            <w:shd w:color="auto" w:fill="A6A6A6" w:val="clear"/>
          </w:tcPr>
          <w:p>
            <w:pPr>
              <w:pStyle w:val="Normal"/>
              <w:spacing w:lineRule="auto" w:line="240" w:before="0" w:after="0"/>
              <w:rPr>
                <w:rFonts w:eastAsia="Times New Roman"/>
                <w:b/>
                <w:b/>
                <w:bCs/>
                <w:color w:val="FFFFFF"/>
                <w:lang w:eastAsia="cs-CZ"/>
              </w:rPr>
            </w:pPr>
            <w:r>
              <w:rPr>
                <w:rFonts w:eastAsia="Times New Roman"/>
                <w:b/>
                <w:bCs/>
                <w:color w:val="FFFFFF"/>
                <w:lang w:eastAsia="cs-CZ"/>
              </w:rPr>
              <w:t>Velikost zrn abrazivní složky (nm)</w:t>
            </w:r>
          </w:p>
        </w:tc>
        <w:tc>
          <w:tcPr>
            <w:tcW w:w="6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rPr>
                <w:rFonts w:eastAsia="Times New Roman"/>
                <w:b/>
                <w:b/>
                <w:bCs/>
                <w:color w:val="FFFFFF"/>
                <w:lang w:eastAsia="cs-CZ"/>
              </w:rPr>
            </w:pPr>
            <w:r>
              <w:rPr>
                <w:rFonts w:eastAsia="Times New Roman"/>
                <w:b/>
                <w:bCs/>
                <w:color w:val="FFFFFF"/>
                <w:lang w:eastAsia="cs-CZ"/>
              </w:rPr>
            </w:r>
          </w:p>
        </w:tc>
        <w:tc>
          <w:tcPr>
            <w:tcW w:w="322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A6A6A6" w:val="clear"/>
          </w:tcPr>
          <w:p>
            <w:pPr>
              <w:pStyle w:val="Normal"/>
              <w:spacing w:lineRule="auto" w:line="240" w:before="0" w:after="0"/>
              <w:rPr>
                <w:rFonts w:eastAsia="Times New Roman"/>
                <w:b/>
                <w:b/>
                <w:bCs/>
                <w:color w:val="FFFFFF"/>
                <w:lang w:eastAsia="cs-CZ"/>
              </w:rPr>
            </w:pPr>
            <w:r>
              <w:rPr>
                <w:rFonts w:eastAsia="Times New Roman"/>
                <w:b/>
                <w:bCs/>
                <w:color w:val="FFFFFF"/>
                <w:lang w:eastAsia="cs-CZ"/>
              </w:rPr>
              <w:t>Po odstranění odlehlých pozorování</w:t>
            </w:r>
          </w:p>
        </w:tc>
      </w:tr>
      <w:tr>
        <w:trPr>
          <w:trHeight w:val="589" w:hRule="atLeast"/>
        </w:trPr>
        <w:tc>
          <w:tcPr>
            <w:tcW w:w="2263" w:type="dxa"/>
            <w:tcBorders>
              <w:left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eastAsia="Times New Roman"/>
                <w:color w:val="000000"/>
                <w:lang w:eastAsia="cs-CZ"/>
              </w:rPr>
            </w:pPr>
            <w:r>
              <w:rPr/>
            </w:r>
          </w:p>
        </w:tc>
        <w:tc>
          <w:tcPr>
            <w:tcW w:w="1602" w:type="dxa"/>
            <w:tcBorders>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eastAsia="Times New Roman"/>
                <w:b/>
                <w:b/>
                <w:bCs/>
                <w:color w:val="000000"/>
                <w:sz w:val="18"/>
                <w:szCs w:val="18"/>
                <w:lang w:eastAsia="cs-CZ"/>
              </w:rPr>
            </w:pPr>
            <w:r>
              <w:rPr>
                <w:rFonts w:eastAsia="Times New Roman"/>
                <w:b/>
                <w:bCs/>
                <w:color w:val="000000"/>
                <w:sz w:val="18"/>
                <w:szCs w:val="18"/>
                <w:lang w:eastAsia="cs-CZ"/>
              </w:rPr>
              <w:t>Typ A1</w:t>
            </w:r>
          </w:p>
        </w:tc>
        <w:tc>
          <w:tcPr>
            <w:tcW w:w="1517" w:type="dxa"/>
            <w:tcBorders>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eastAsia="Times New Roman"/>
                <w:b/>
                <w:b/>
                <w:bCs/>
                <w:color w:val="000000"/>
                <w:sz w:val="18"/>
                <w:szCs w:val="18"/>
                <w:lang w:eastAsia="cs-CZ"/>
              </w:rPr>
            </w:pPr>
            <w:r>
              <w:rPr>
                <w:rFonts w:eastAsia="Times New Roman"/>
                <w:b/>
                <w:bCs/>
                <w:color w:val="000000"/>
                <w:sz w:val="18"/>
                <w:szCs w:val="18"/>
                <w:lang w:eastAsia="cs-CZ"/>
              </w:rPr>
              <w:t>Typ A2</w:t>
            </w:r>
          </w:p>
        </w:tc>
        <w:tc>
          <w:tcPr>
            <w:tcW w:w="61" w:type="dxa"/>
            <w:vMerge w:val="continue"/>
            <w:tcBorders>
              <w:left w:val="single" w:sz="4" w:space="0" w:color="000000"/>
              <w:bottom w:val="single" w:sz="4" w:space="0" w:color="000000"/>
              <w:insideH w:val="single" w:sz="4" w:space="0" w:color="000000"/>
            </w:tcBorders>
            <w:shd w:color="auto" w:fill="FFFFFF" w:val="clear"/>
          </w:tcPr>
          <w:p>
            <w:pPr>
              <w:pStyle w:val="Normal"/>
              <w:spacing w:before="0" w:after="160"/>
              <w:rPr/>
            </w:pPr>
            <w:r>
              <w:rPr/>
            </w:r>
          </w:p>
        </w:tc>
        <w:tc>
          <w:tcPr>
            <w:tcW w:w="166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b/>
                <w:b/>
                <w:bCs/>
                <w:color w:val="000000"/>
                <w:sz w:val="18"/>
                <w:szCs w:val="18"/>
                <w:lang w:eastAsia="cs-CZ"/>
              </w:rPr>
            </w:pPr>
            <w:r>
              <w:rPr>
                <w:rFonts w:eastAsia="Times New Roman"/>
                <w:b/>
                <w:bCs/>
                <w:color w:val="000000"/>
                <w:sz w:val="18"/>
                <w:szCs w:val="18"/>
                <w:lang w:eastAsia="cs-CZ"/>
              </w:rPr>
              <w:t>Typ A1</w:t>
            </w:r>
          </w:p>
        </w:tc>
        <w:tc>
          <w:tcPr>
            <w:tcW w:w="155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b/>
                <w:b/>
                <w:bCs/>
                <w:color w:val="000000"/>
                <w:sz w:val="18"/>
                <w:szCs w:val="18"/>
                <w:lang w:eastAsia="cs-CZ"/>
              </w:rPr>
            </w:pPr>
            <w:r>
              <w:rPr>
                <w:rFonts w:eastAsia="Times New Roman"/>
                <w:b/>
                <w:bCs/>
                <w:color w:val="000000"/>
                <w:sz w:val="18"/>
                <w:szCs w:val="18"/>
                <w:lang w:eastAsia="cs-CZ"/>
              </w:rPr>
              <w:t>Typ A2</w:t>
            </w:r>
          </w:p>
        </w:tc>
      </w:tr>
      <w:tr>
        <w:trPr>
          <w:trHeight w:val="246" w:hRule="atLeast"/>
        </w:trPr>
        <w:tc>
          <w:tcPr>
            <w:tcW w:w="2263" w:type="dxa"/>
            <w:tcBorders>
              <w:left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eastAsia="Times New Roman"/>
                <w:b/>
                <w:b/>
                <w:color w:val="000000"/>
                <w:lang w:eastAsia="cs-CZ"/>
              </w:rPr>
            </w:pPr>
            <w:r>
              <w:rPr>
                <w:rFonts w:eastAsia="Times New Roman"/>
                <w:b/>
                <w:color w:val="000000"/>
                <w:lang w:eastAsia="cs-CZ"/>
              </w:rPr>
              <w:t>rozsah souboru</w:t>
            </w:r>
          </w:p>
        </w:tc>
        <w:tc>
          <w:tcPr>
            <w:tcW w:w="1602" w:type="dxa"/>
            <w:tcBorders>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eastAsia="Times New Roman"/>
                <w:b/>
                <w:b/>
                <w:bCs/>
                <w:color w:val="000000"/>
                <w:sz w:val="18"/>
                <w:szCs w:val="18"/>
                <w:lang w:eastAsia="cs-CZ"/>
              </w:rPr>
            </w:pPr>
            <w:r>
              <w:rPr>
                <w:rFonts w:eastAsia="Times New Roman"/>
                <w:b/>
                <w:bCs/>
                <w:color w:val="000000"/>
                <w:sz w:val="18"/>
                <w:szCs w:val="18"/>
                <w:lang w:eastAsia="cs-CZ"/>
              </w:rPr>
            </w:r>
          </w:p>
        </w:tc>
        <w:tc>
          <w:tcPr>
            <w:tcW w:w="1517" w:type="dxa"/>
            <w:tcBorders>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eastAsia="Times New Roman"/>
                <w:b/>
                <w:b/>
                <w:bCs/>
                <w:color w:val="000000"/>
                <w:sz w:val="18"/>
                <w:szCs w:val="18"/>
                <w:lang w:eastAsia="cs-CZ"/>
              </w:rPr>
            </w:pPr>
            <w:r>
              <w:rPr>
                <w:rFonts w:eastAsia="Times New Roman"/>
                <w:b/>
                <w:bCs/>
                <w:color w:val="000000"/>
                <w:sz w:val="18"/>
                <w:szCs w:val="18"/>
                <w:lang w:eastAsia="cs-CZ"/>
              </w:rPr>
            </w:r>
          </w:p>
        </w:tc>
        <w:tc>
          <w:tcPr>
            <w:tcW w:w="61" w:type="dxa"/>
            <w:vMerge w:val="continue"/>
            <w:tcBorders>
              <w:left w:val="single" w:sz="4" w:space="0" w:color="000000"/>
              <w:bottom w:val="single" w:sz="4" w:space="0" w:color="000000"/>
              <w:insideH w:val="single" w:sz="4" w:space="0" w:color="000000"/>
            </w:tcBorders>
            <w:shd w:color="auto" w:fill="FFFFFF" w:val="clear"/>
          </w:tcPr>
          <w:p>
            <w:pPr>
              <w:pStyle w:val="Normal"/>
              <w:spacing w:before="0" w:after="160"/>
              <w:rPr/>
            </w:pPr>
            <w:r>
              <w:rPr/>
            </w:r>
          </w:p>
        </w:tc>
        <w:tc>
          <w:tcPr>
            <w:tcW w:w="166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b/>
                <w:b/>
                <w:bCs/>
                <w:color w:val="000000"/>
                <w:sz w:val="18"/>
                <w:szCs w:val="18"/>
                <w:lang w:eastAsia="cs-CZ"/>
              </w:rPr>
            </w:pPr>
            <w:r>
              <w:rPr>
                <w:rFonts w:eastAsia="Times New Roman"/>
                <w:b/>
                <w:bCs/>
                <w:color w:val="000000"/>
                <w:sz w:val="18"/>
                <w:szCs w:val="18"/>
                <w:lang w:eastAsia="cs-CZ"/>
              </w:rPr>
            </w:r>
          </w:p>
        </w:tc>
        <w:tc>
          <w:tcPr>
            <w:tcW w:w="155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b/>
                <w:b/>
                <w:bCs/>
                <w:color w:val="000000"/>
                <w:sz w:val="18"/>
                <w:szCs w:val="18"/>
                <w:lang w:eastAsia="cs-CZ"/>
              </w:rPr>
            </w:pPr>
            <w:r>
              <w:rPr>
                <w:rFonts w:eastAsia="Times New Roman"/>
                <w:b/>
                <w:bCs/>
                <w:color w:val="000000"/>
                <w:sz w:val="18"/>
                <w:szCs w:val="18"/>
                <w:lang w:eastAsia="cs-CZ"/>
              </w:rPr>
            </w:r>
          </w:p>
        </w:tc>
      </w:tr>
      <w:tr>
        <w:trPr>
          <w:trHeight w:val="261" w:hRule="atLeast"/>
        </w:trPr>
        <w:tc>
          <w:tcPr>
            <w:tcW w:w="5382" w:type="dxa"/>
            <w:gridSpan w:val="3"/>
            <w:tcBorders>
              <w:left w:val="single" w:sz="4" w:space="0" w:color="000000"/>
              <w:bottom w:val="single" w:sz="4" w:space="0" w:color="000000"/>
              <w:insideH w:val="single" w:sz="4" w:space="0" w:color="000000"/>
            </w:tcBorders>
            <w:shd w:color="auto" w:fill="C5E0B3" w:val="clear"/>
            <w:vAlign w:val="bottom"/>
          </w:tcPr>
          <w:p>
            <w:pPr>
              <w:pStyle w:val="Normal"/>
              <w:spacing w:before="0" w:after="0"/>
              <w:rPr/>
            </w:pPr>
            <w:r>
              <w:rPr>
                <w:color w:val="000000"/>
              </w:rPr>
              <w:t> </w:t>
            </w:r>
            <w:r>
              <w:rPr>
                <w:b/>
                <w:bCs/>
                <w:color w:val="000000"/>
              </w:rPr>
              <w:t>Míry polohy</w:t>
            </w:r>
          </w:p>
        </w:tc>
        <w:tc>
          <w:tcPr>
            <w:tcW w:w="61"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before="0" w:after="160"/>
              <w:rPr/>
            </w:pPr>
            <w:r>
              <w:rPr/>
            </w:r>
          </w:p>
        </w:tc>
        <w:tc>
          <w:tcPr>
            <w:tcW w:w="3220" w:type="dxa"/>
            <w:gridSpan w:val="2"/>
            <w:tcBorders>
              <w:left w:val="single" w:sz="4" w:space="0" w:color="000000"/>
              <w:bottom w:val="single" w:sz="4" w:space="0" w:color="000000"/>
              <w:right w:val="single" w:sz="4" w:space="0" w:color="000000"/>
              <w:insideH w:val="single" w:sz="4" w:space="0" w:color="000000"/>
              <w:insideV w:val="single" w:sz="4" w:space="0" w:color="000000"/>
            </w:tcBorders>
            <w:shd w:color="auto" w:fill="C5E0B3" w:val="clear"/>
            <w:vAlign w:val="bottom"/>
          </w:tcPr>
          <w:p>
            <w:pPr>
              <w:pStyle w:val="Normal"/>
              <w:spacing w:before="0" w:after="0"/>
              <w:jc w:val="center"/>
              <w:rPr>
                <w:b/>
                <w:b/>
                <w:bCs/>
                <w:color w:val="000000"/>
              </w:rPr>
            </w:pPr>
            <w:r>
              <w:rPr>
                <w:b/>
                <w:bCs/>
                <w:color w:val="000000"/>
              </w:rPr>
              <w:t> </w:t>
            </w:r>
          </w:p>
        </w:tc>
      </w:tr>
      <w:tr>
        <w:trPr>
          <w:trHeight w:val="300" w:hRule="atLeast"/>
        </w:trPr>
        <w:tc>
          <w:tcPr>
            <w:tcW w:w="2263" w:type="dxa"/>
            <w:tcBorders>
              <w:left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eastAsia="Times New Roman"/>
                <w:b/>
                <w:b/>
                <w:bCs/>
                <w:color w:val="000000"/>
                <w:lang w:eastAsia="cs-CZ"/>
              </w:rPr>
            </w:pPr>
            <w:r>
              <w:rPr>
                <w:rFonts w:eastAsia="Times New Roman"/>
                <w:b/>
                <w:bCs/>
                <w:color w:val="000000"/>
                <w:lang w:eastAsia="cs-CZ"/>
              </w:rPr>
              <w:t>minimum</w:t>
            </w:r>
          </w:p>
        </w:tc>
        <w:tc>
          <w:tcPr>
            <w:tcW w:w="1602"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1517"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61" w:type="dxa"/>
            <w:vMerge w:val="continue"/>
            <w:tcBorders>
              <w:left w:val="single" w:sz="4" w:space="0" w:color="000000"/>
              <w:bottom w:val="single" w:sz="4" w:space="0" w:color="000000"/>
              <w:insideH w:val="single" w:sz="4" w:space="0" w:color="000000"/>
            </w:tcBorders>
            <w:shd w:color="auto" w:fill="FFFFFF" w:val="clear"/>
          </w:tcPr>
          <w:p>
            <w:pPr>
              <w:pStyle w:val="Normal"/>
              <w:spacing w:before="0" w:after="160"/>
              <w:rPr/>
            </w:pPr>
            <w:r>
              <w:rPr/>
            </w:r>
          </w:p>
        </w:tc>
        <w:tc>
          <w:tcPr>
            <w:tcW w:w="166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color w:val="000000"/>
              </w:rPr>
            </w:pPr>
            <w:r>
              <w:rPr>
                <w:color w:val="000000"/>
              </w:rPr>
            </w:r>
          </w:p>
        </w:tc>
        <w:tc>
          <w:tcPr>
            <w:tcW w:w="155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color w:val="000000"/>
              </w:rPr>
            </w:pPr>
            <w:r>
              <w:rPr>
                <w:color w:val="000000"/>
              </w:rPr>
            </w:r>
          </w:p>
        </w:tc>
      </w:tr>
      <w:tr>
        <w:trPr>
          <w:trHeight w:val="300" w:hRule="atLeast"/>
        </w:trPr>
        <w:tc>
          <w:tcPr>
            <w:tcW w:w="2263" w:type="dxa"/>
            <w:tcBorders>
              <w:left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eastAsia="Times New Roman"/>
                <w:b/>
                <w:b/>
                <w:bCs/>
                <w:color w:val="000000"/>
                <w:lang w:eastAsia="cs-CZ"/>
              </w:rPr>
            </w:pPr>
            <w:r>
              <w:rPr>
                <w:rFonts w:eastAsia="Times New Roman"/>
                <w:b/>
                <w:bCs/>
                <w:color w:val="000000"/>
                <w:lang w:eastAsia="cs-CZ"/>
              </w:rPr>
              <w:t>dolní kvartil</w:t>
            </w:r>
          </w:p>
        </w:tc>
        <w:tc>
          <w:tcPr>
            <w:tcW w:w="1602"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1517"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61" w:type="dxa"/>
            <w:vMerge w:val="continue"/>
            <w:tcBorders>
              <w:left w:val="single" w:sz="4" w:space="0" w:color="000000"/>
              <w:bottom w:val="single" w:sz="4" w:space="0" w:color="000000"/>
              <w:insideH w:val="single" w:sz="4" w:space="0" w:color="000000"/>
            </w:tcBorders>
            <w:shd w:color="auto" w:fill="FFFFFF" w:val="clear"/>
          </w:tcPr>
          <w:p>
            <w:pPr>
              <w:pStyle w:val="Normal"/>
              <w:spacing w:before="0" w:after="160"/>
              <w:rPr/>
            </w:pPr>
            <w:r>
              <w:rPr/>
            </w:r>
          </w:p>
        </w:tc>
        <w:tc>
          <w:tcPr>
            <w:tcW w:w="166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color w:val="4472C4"/>
              </w:rPr>
            </w:pPr>
            <w:r>
              <w:rPr>
                <w:color w:val="4472C4"/>
              </w:rPr>
            </w:r>
          </w:p>
        </w:tc>
        <w:tc>
          <w:tcPr>
            <w:tcW w:w="155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color w:val="000000"/>
              </w:rPr>
            </w:pPr>
            <w:r>
              <w:rPr>
                <w:color w:val="000000"/>
              </w:rPr>
            </w:r>
          </w:p>
        </w:tc>
      </w:tr>
      <w:tr>
        <w:trPr>
          <w:trHeight w:val="300" w:hRule="atLeast"/>
        </w:trPr>
        <w:tc>
          <w:tcPr>
            <w:tcW w:w="2263" w:type="dxa"/>
            <w:tcBorders>
              <w:left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eastAsia="Times New Roman"/>
                <w:b/>
                <w:b/>
                <w:bCs/>
                <w:color w:val="000000"/>
                <w:lang w:eastAsia="cs-CZ"/>
              </w:rPr>
            </w:pPr>
            <w:r>
              <w:rPr>
                <w:rFonts w:eastAsia="Times New Roman"/>
                <w:b/>
                <w:bCs/>
                <w:color w:val="000000"/>
                <w:lang w:eastAsia="cs-CZ"/>
              </w:rPr>
              <w:t>medián</w:t>
            </w:r>
          </w:p>
        </w:tc>
        <w:tc>
          <w:tcPr>
            <w:tcW w:w="1602"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1517"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61" w:type="dxa"/>
            <w:vMerge w:val="continue"/>
            <w:tcBorders>
              <w:left w:val="single" w:sz="4" w:space="0" w:color="000000"/>
              <w:bottom w:val="single" w:sz="4" w:space="0" w:color="000000"/>
              <w:insideH w:val="single" w:sz="4" w:space="0" w:color="000000"/>
            </w:tcBorders>
            <w:shd w:color="auto" w:fill="FFFFFF" w:val="clear"/>
          </w:tcPr>
          <w:p>
            <w:pPr>
              <w:pStyle w:val="Normal"/>
              <w:spacing w:before="0" w:after="160"/>
              <w:rPr/>
            </w:pPr>
            <w:r>
              <w:rPr/>
            </w:r>
          </w:p>
        </w:tc>
        <w:tc>
          <w:tcPr>
            <w:tcW w:w="166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color w:val="000000"/>
              </w:rPr>
            </w:pPr>
            <w:r>
              <w:rPr>
                <w:color w:val="000000"/>
              </w:rPr>
            </w:r>
          </w:p>
        </w:tc>
        <w:tc>
          <w:tcPr>
            <w:tcW w:w="155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color w:val="000000"/>
                <w:lang w:val="en-US"/>
              </w:rPr>
            </w:pPr>
            <w:r>
              <w:rPr>
                <w:color w:val="000000"/>
                <w:lang w:val="en-US"/>
              </w:rPr>
            </w:r>
          </w:p>
        </w:tc>
      </w:tr>
      <w:tr>
        <w:trPr>
          <w:trHeight w:val="300" w:hRule="atLeast"/>
        </w:trPr>
        <w:tc>
          <w:tcPr>
            <w:tcW w:w="2263" w:type="dxa"/>
            <w:tcBorders>
              <w:left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eastAsia="Times New Roman"/>
                <w:b/>
                <w:b/>
                <w:bCs/>
                <w:color w:val="000000"/>
                <w:lang w:eastAsia="cs-CZ"/>
              </w:rPr>
            </w:pPr>
            <w:r>
              <w:rPr>
                <w:rFonts w:eastAsia="Times New Roman"/>
                <w:b/>
                <w:bCs/>
                <w:color w:val="000000"/>
                <w:lang w:eastAsia="cs-CZ"/>
              </w:rPr>
              <w:t>průměr</w:t>
            </w:r>
          </w:p>
        </w:tc>
        <w:tc>
          <w:tcPr>
            <w:tcW w:w="1602"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1517"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61" w:type="dxa"/>
            <w:vMerge w:val="continue"/>
            <w:tcBorders>
              <w:left w:val="single" w:sz="4" w:space="0" w:color="000000"/>
              <w:bottom w:val="single" w:sz="4" w:space="0" w:color="000000"/>
              <w:insideH w:val="single" w:sz="4" w:space="0" w:color="000000"/>
            </w:tcBorders>
            <w:shd w:color="auto" w:fill="FFFFFF" w:val="clear"/>
          </w:tcPr>
          <w:p>
            <w:pPr>
              <w:pStyle w:val="Normal"/>
              <w:spacing w:before="0" w:after="160"/>
              <w:rPr/>
            </w:pPr>
            <w:r>
              <w:rPr/>
            </w:r>
          </w:p>
        </w:tc>
        <w:tc>
          <w:tcPr>
            <w:tcW w:w="166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color w:val="000000"/>
              </w:rPr>
            </w:pPr>
            <w:r>
              <w:rPr>
                <w:color w:val="000000"/>
              </w:rPr>
            </w:r>
          </w:p>
        </w:tc>
        <w:tc>
          <w:tcPr>
            <w:tcW w:w="155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color w:val="000000"/>
              </w:rPr>
            </w:pPr>
            <w:r>
              <w:rPr>
                <w:color w:val="000000"/>
              </w:rPr>
            </w:r>
          </w:p>
        </w:tc>
      </w:tr>
      <w:tr>
        <w:trPr>
          <w:trHeight w:val="300" w:hRule="atLeast"/>
        </w:trPr>
        <w:tc>
          <w:tcPr>
            <w:tcW w:w="2263" w:type="dxa"/>
            <w:tcBorders>
              <w:left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eastAsia="Times New Roman"/>
                <w:b/>
                <w:b/>
                <w:bCs/>
                <w:color w:val="000000"/>
                <w:lang w:eastAsia="cs-CZ"/>
              </w:rPr>
            </w:pPr>
            <w:r>
              <w:rPr>
                <w:rFonts w:eastAsia="Times New Roman"/>
                <w:b/>
                <w:bCs/>
                <w:color w:val="000000"/>
                <w:lang w:eastAsia="cs-CZ"/>
              </w:rPr>
              <w:t>horní kvartil</w:t>
            </w:r>
          </w:p>
        </w:tc>
        <w:tc>
          <w:tcPr>
            <w:tcW w:w="1602"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1517"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61" w:type="dxa"/>
            <w:vMerge w:val="continue"/>
            <w:tcBorders>
              <w:left w:val="single" w:sz="4" w:space="0" w:color="000000"/>
              <w:bottom w:val="single" w:sz="4" w:space="0" w:color="000000"/>
              <w:insideH w:val="single" w:sz="4" w:space="0" w:color="000000"/>
            </w:tcBorders>
            <w:shd w:color="auto" w:fill="FFFFFF" w:val="clear"/>
          </w:tcPr>
          <w:p>
            <w:pPr>
              <w:pStyle w:val="Normal"/>
              <w:spacing w:before="0" w:after="160"/>
              <w:rPr/>
            </w:pPr>
            <w:r>
              <w:rPr/>
            </w:r>
          </w:p>
        </w:tc>
        <w:tc>
          <w:tcPr>
            <w:tcW w:w="166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color w:val="000000"/>
              </w:rPr>
            </w:pPr>
            <w:r>
              <w:rPr>
                <w:color w:val="000000"/>
              </w:rPr>
            </w:r>
          </w:p>
        </w:tc>
        <w:tc>
          <w:tcPr>
            <w:tcW w:w="155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color w:val="000000"/>
              </w:rPr>
            </w:pPr>
            <w:r>
              <w:rPr>
                <w:color w:val="000000"/>
              </w:rPr>
            </w:r>
          </w:p>
        </w:tc>
      </w:tr>
      <w:tr>
        <w:trPr>
          <w:trHeight w:val="300" w:hRule="atLeast"/>
        </w:trPr>
        <w:tc>
          <w:tcPr>
            <w:tcW w:w="2263" w:type="dxa"/>
            <w:tcBorders>
              <w:left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eastAsia="Times New Roman"/>
                <w:b/>
                <w:b/>
                <w:bCs/>
                <w:color w:val="000000"/>
                <w:lang w:eastAsia="cs-CZ"/>
              </w:rPr>
            </w:pPr>
            <w:r>
              <w:rPr>
                <w:rFonts w:eastAsia="Times New Roman"/>
                <w:b/>
                <w:bCs/>
                <w:color w:val="000000"/>
                <w:lang w:eastAsia="cs-CZ"/>
              </w:rPr>
              <w:t>maximum</w:t>
            </w:r>
          </w:p>
        </w:tc>
        <w:tc>
          <w:tcPr>
            <w:tcW w:w="1602"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1517"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61" w:type="dxa"/>
            <w:vMerge w:val="continue"/>
            <w:tcBorders>
              <w:left w:val="single" w:sz="4" w:space="0" w:color="000000"/>
              <w:bottom w:val="single" w:sz="4" w:space="0" w:color="000000"/>
              <w:insideH w:val="single" w:sz="4" w:space="0" w:color="000000"/>
            </w:tcBorders>
            <w:shd w:color="auto" w:fill="FFFFFF" w:val="clear"/>
          </w:tcPr>
          <w:p>
            <w:pPr>
              <w:pStyle w:val="Normal"/>
              <w:spacing w:before="0" w:after="160"/>
              <w:rPr/>
            </w:pPr>
            <w:r>
              <w:rPr/>
            </w:r>
          </w:p>
        </w:tc>
        <w:tc>
          <w:tcPr>
            <w:tcW w:w="166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color w:val="000000"/>
              </w:rPr>
            </w:pPr>
            <w:r>
              <w:rPr>
                <w:color w:val="000000"/>
              </w:rPr>
            </w:r>
          </w:p>
        </w:tc>
        <w:tc>
          <w:tcPr>
            <w:tcW w:w="155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color w:val="000000"/>
              </w:rPr>
            </w:pPr>
            <w:r>
              <w:rPr>
                <w:color w:val="000000"/>
              </w:rPr>
            </w:r>
          </w:p>
        </w:tc>
      </w:tr>
      <w:tr>
        <w:trPr>
          <w:trHeight w:val="300" w:hRule="atLeast"/>
        </w:trPr>
        <w:tc>
          <w:tcPr>
            <w:tcW w:w="5382" w:type="dxa"/>
            <w:gridSpan w:val="3"/>
            <w:tcBorders>
              <w:left w:val="single" w:sz="4" w:space="0" w:color="000000"/>
              <w:bottom w:val="single" w:sz="4" w:space="0" w:color="000000"/>
              <w:insideH w:val="single" w:sz="4" w:space="0" w:color="000000"/>
            </w:tcBorders>
            <w:shd w:color="auto" w:fill="C5E0B3" w:val="clear"/>
            <w:vAlign w:val="bottom"/>
          </w:tcPr>
          <w:p>
            <w:pPr>
              <w:pStyle w:val="Normal"/>
              <w:spacing w:before="0" w:after="0"/>
              <w:rPr>
                <w:b/>
                <w:b/>
                <w:bCs/>
                <w:color w:val="000000"/>
              </w:rPr>
            </w:pPr>
            <w:r>
              <w:rPr>
                <w:b/>
                <w:bCs/>
                <w:color w:val="000000"/>
              </w:rPr>
              <w:t>Míry variability</w:t>
            </w:r>
          </w:p>
        </w:tc>
        <w:tc>
          <w:tcPr>
            <w:tcW w:w="61"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before="0" w:after="160"/>
              <w:rPr/>
            </w:pPr>
            <w:r>
              <w:rPr/>
            </w:r>
          </w:p>
        </w:tc>
        <w:tc>
          <w:tcPr>
            <w:tcW w:w="3220" w:type="dxa"/>
            <w:gridSpan w:val="2"/>
            <w:tcBorders>
              <w:left w:val="single" w:sz="4" w:space="0" w:color="000000"/>
              <w:bottom w:val="single" w:sz="4" w:space="0" w:color="000000"/>
              <w:right w:val="single" w:sz="4" w:space="0" w:color="000000"/>
              <w:insideH w:val="single" w:sz="4" w:space="0" w:color="000000"/>
              <w:insideV w:val="single" w:sz="4" w:space="0" w:color="000000"/>
            </w:tcBorders>
            <w:shd w:color="auto" w:fill="C5E0B3" w:val="clear"/>
            <w:vAlign w:val="bottom"/>
          </w:tcPr>
          <w:p>
            <w:pPr>
              <w:pStyle w:val="Normal"/>
              <w:spacing w:before="0" w:after="0"/>
              <w:jc w:val="center"/>
              <w:rPr>
                <w:b/>
                <w:b/>
                <w:bCs/>
                <w:color w:val="000000"/>
              </w:rPr>
            </w:pPr>
            <w:r>
              <w:rPr>
                <w:b/>
                <w:bCs/>
                <w:color w:val="000000"/>
              </w:rPr>
              <w:t> </w:t>
            </w:r>
          </w:p>
        </w:tc>
      </w:tr>
      <w:tr>
        <w:trPr>
          <w:trHeight w:val="300" w:hRule="atLeast"/>
        </w:trPr>
        <w:tc>
          <w:tcPr>
            <w:tcW w:w="2263" w:type="dxa"/>
            <w:tcBorders>
              <w:left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eastAsia="Times New Roman"/>
                <w:b/>
                <w:b/>
                <w:bCs/>
                <w:color w:val="000000"/>
                <w:lang w:eastAsia="cs-CZ"/>
              </w:rPr>
            </w:pPr>
            <w:r>
              <w:rPr>
                <w:rFonts w:eastAsia="Times New Roman"/>
                <w:b/>
                <w:bCs/>
                <w:color w:val="000000"/>
                <w:lang w:eastAsia="cs-CZ"/>
              </w:rPr>
              <w:t>směrodatná odchylka</w:t>
            </w:r>
          </w:p>
        </w:tc>
        <w:tc>
          <w:tcPr>
            <w:tcW w:w="1602"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1517"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61" w:type="dxa"/>
            <w:vMerge w:val="continue"/>
            <w:tcBorders>
              <w:left w:val="single" w:sz="4" w:space="0" w:color="000000"/>
              <w:bottom w:val="single" w:sz="4" w:space="0" w:color="000000"/>
              <w:insideH w:val="single" w:sz="4" w:space="0" w:color="000000"/>
            </w:tcBorders>
            <w:shd w:color="auto" w:fill="FFFFFF" w:val="clear"/>
          </w:tcPr>
          <w:p>
            <w:pPr>
              <w:pStyle w:val="Normal"/>
              <w:spacing w:before="0" w:after="160"/>
              <w:rPr/>
            </w:pPr>
            <w:r>
              <w:rPr/>
            </w:r>
          </w:p>
        </w:tc>
        <w:tc>
          <w:tcPr>
            <w:tcW w:w="166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color w:val="000000"/>
              </w:rPr>
            </w:pPr>
            <w:r>
              <w:rPr>
                <w:color w:val="000000"/>
              </w:rPr>
            </w:r>
          </w:p>
        </w:tc>
        <w:tc>
          <w:tcPr>
            <w:tcW w:w="155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color w:val="000000"/>
              </w:rPr>
            </w:pPr>
            <w:r>
              <w:rPr>
                <w:color w:val="000000"/>
              </w:rPr>
            </w:r>
          </w:p>
        </w:tc>
      </w:tr>
      <w:tr>
        <w:trPr>
          <w:trHeight w:val="300" w:hRule="atLeast"/>
        </w:trPr>
        <w:tc>
          <w:tcPr>
            <w:tcW w:w="2263" w:type="dxa"/>
            <w:tcBorders>
              <w:left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eastAsia="Times New Roman"/>
                <w:b/>
                <w:b/>
                <w:bCs/>
                <w:color w:val="000000"/>
                <w:lang w:eastAsia="cs-CZ"/>
              </w:rPr>
            </w:pPr>
            <w:r>
              <w:rPr>
                <w:rFonts w:eastAsia="Times New Roman"/>
                <w:b/>
                <w:bCs/>
                <w:color w:val="000000"/>
                <w:lang w:eastAsia="cs-CZ"/>
              </w:rPr>
              <w:t>variační koeficient (%)</w:t>
            </w:r>
          </w:p>
        </w:tc>
        <w:tc>
          <w:tcPr>
            <w:tcW w:w="1602"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1517"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61" w:type="dxa"/>
            <w:vMerge w:val="continue"/>
            <w:tcBorders>
              <w:left w:val="single" w:sz="4" w:space="0" w:color="000000"/>
              <w:bottom w:val="single" w:sz="4" w:space="0" w:color="000000"/>
              <w:insideH w:val="single" w:sz="4" w:space="0" w:color="000000"/>
            </w:tcBorders>
            <w:shd w:color="auto" w:fill="FFFFFF" w:val="clear"/>
          </w:tcPr>
          <w:p>
            <w:pPr>
              <w:pStyle w:val="Normal"/>
              <w:spacing w:before="0" w:after="160"/>
              <w:rPr/>
            </w:pPr>
            <w:r>
              <w:rPr/>
            </w:r>
          </w:p>
        </w:tc>
        <w:tc>
          <w:tcPr>
            <w:tcW w:w="166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color w:val="000000"/>
              </w:rPr>
            </w:pPr>
            <w:r>
              <w:rPr>
                <w:color w:val="000000"/>
              </w:rPr>
            </w:r>
          </w:p>
        </w:tc>
        <w:tc>
          <w:tcPr>
            <w:tcW w:w="155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color w:val="000000"/>
              </w:rPr>
            </w:pPr>
            <w:r>
              <w:rPr>
                <w:color w:val="000000"/>
              </w:rPr>
            </w:r>
          </w:p>
        </w:tc>
      </w:tr>
      <w:tr>
        <w:trPr>
          <w:trHeight w:val="300" w:hRule="atLeast"/>
        </w:trPr>
        <w:tc>
          <w:tcPr>
            <w:tcW w:w="5382" w:type="dxa"/>
            <w:gridSpan w:val="3"/>
            <w:tcBorders>
              <w:left w:val="single" w:sz="4" w:space="0" w:color="000000"/>
              <w:bottom w:val="single" w:sz="4" w:space="0" w:color="000000"/>
              <w:insideH w:val="single" w:sz="4" w:space="0" w:color="000000"/>
            </w:tcBorders>
            <w:shd w:color="auto" w:fill="C5E0B3" w:val="clear"/>
            <w:vAlign w:val="center"/>
          </w:tcPr>
          <w:p>
            <w:pPr>
              <w:pStyle w:val="Normal"/>
              <w:spacing w:before="0" w:after="0"/>
              <w:rPr>
                <w:b/>
                <w:b/>
                <w:bCs/>
                <w:color w:val="000000"/>
              </w:rPr>
            </w:pPr>
            <w:r>
              <w:rPr>
                <w:b/>
                <w:bCs/>
                <w:color w:val="000000"/>
              </w:rPr>
              <w:t>Míry šikmosti a špičatosti</w:t>
            </w:r>
          </w:p>
        </w:tc>
        <w:tc>
          <w:tcPr>
            <w:tcW w:w="61"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before="0" w:after="160"/>
              <w:rPr/>
            </w:pPr>
            <w:r>
              <w:rPr/>
            </w:r>
          </w:p>
        </w:tc>
        <w:tc>
          <w:tcPr>
            <w:tcW w:w="3220" w:type="dxa"/>
            <w:gridSpan w:val="2"/>
            <w:tcBorders>
              <w:left w:val="single" w:sz="4" w:space="0" w:color="000000"/>
              <w:bottom w:val="single" w:sz="4" w:space="0" w:color="000000"/>
              <w:right w:val="single" w:sz="4" w:space="0" w:color="000000"/>
              <w:insideH w:val="single" w:sz="4" w:space="0" w:color="000000"/>
              <w:insideV w:val="single" w:sz="4" w:space="0" w:color="000000"/>
            </w:tcBorders>
            <w:shd w:color="auto" w:fill="C5E0B3" w:val="clear"/>
            <w:vAlign w:val="bottom"/>
          </w:tcPr>
          <w:p>
            <w:pPr>
              <w:pStyle w:val="Normal"/>
              <w:spacing w:before="0" w:after="0"/>
              <w:jc w:val="center"/>
              <w:rPr>
                <w:b/>
                <w:b/>
                <w:bCs/>
                <w:color w:val="000000"/>
              </w:rPr>
            </w:pPr>
            <w:r>
              <w:rPr>
                <w:b/>
                <w:bCs/>
                <w:color w:val="000000"/>
              </w:rPr>
              <w:t> </w:t>
            </w:r>
          </w:p>
        </w:tc>
      </w:tr>
      <w:tr>
        <w:trPr>
          <w:trHeight w:val="300" w:hRule="atLeast"/>
        </w:trPr>
        <w:tc>
          <w:tcPr>
            <w:tcW w:w="2263" w:type="dxa"/>
            <w:tcBorders>
              <w:left w:val="single" w:sz="4" w:space="0" w:color="000000"/>
              <w:bottom w:val="single" w:sz="4" w:space="0" w:color="000000"/>
              <w:insideH w:val="single" w:sz="4" w:space="0" w:color="000000"/>
            </w:tcBorders>
            <w:shd w:fill="auto" w:val="clear"/>
            <w:vAlign w:val="bottom"/>
          </w:tcPr>
          <w:p>
            <w:pPr>
              <w:pStyle w:val="Normal"/>
              <w:spacing w:before="0" w:after="0"/>
              <w:rPr>
                <w:b/>
                <w:b/>
                <w:bCs/>
                <w:color w:val="000000"/>
              </w:rPr>
            </w:pPr>
            <w:r>
              <w:rPr>
                <w:b/>
                <w:bCs/>
                <w:color w:val="000000"/>
              </w:rPr>
              <w:t>šikmost</w:t>
            </w:r>
          </w:p>
        </w:tc>
        <w:tc>
          <w:tcPr>
            <w:tcW w:w="1602"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1517"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61" w:type="dxa"/>
            <w:vMerge w:val="continue"/>
            <w:tcBorders>
              <w:left w:val="single" w:sz="4" w:space="0" w:color="000000"/>
              <w:bottom w:val="single" w:sz="4" w:space="0" w:color="000000"/>
              <w:insideH w:val="single" w:sz="4" w:space="0" w:color="000000"/>
            </w:tcBorders>
            <w:shd w:color="auto" w:fill="FFFFFF" w:val="clear"/>
          </w:tcPr>
          <w:p>
            <w:pPr>
              <w:pStyle w:val="Normal"/>
              <w:spacing w:before="0" w:after="160"/>
              <w:rPr/>
            </w:pPr>
            <w:r>
              <w:rPr/>
            </w:r>
          </w:p>
        </w:tc>
        <w:tc>
          <w:tcPr>
            <w:tcW w:w="166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color w:val="000000"/>
              </w:rPr>
            </w:pPr>
            <w:r>
              <w:rPr>
                <w:color w:val="000000"/>
              </w:rPr>
            </w:r>
          </w:p>
        </w:tc>
        <w:tc>
          <w:tcPr>
            <w:tcW w:w="155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color w:val="000000"/>
              </w:rPr>
            </w:pPr>
            <w:r>
              <w:rPr>
                <w:color w:val="000000"/>
              </w:rPr>
            </w:r>
          </w:p>
        </w:tc>
      </w:tr>
      <w:tr>
        <w:trPr>
          <w:trHeight w:val="300" w:hRule="atLeast"/>
        </w:trPr>
        <w:tc>
          <w:tcPr>
            <w:tcW w:w="2263" w:type="dxa"/>
            <w:tcBorders>
              <w:left w:val="single" w:sz="4" w:space="0" w:color="000000"/>
              <w:bottom w:val="single" w:sz="4" w:space="0" w:color="000000"/>
              <w:insideH w:val="single" w:sz="4" w:space="0" w:color="000000"/>
            </w:tcBorders>
            <w:shd w:fill="auto" w:val="clear"/>
            <w:vAlign w:val="bottom"/>
          </w:tcPr>
          <w:p>
            <w:pPr>
              <w:pStyle w:val="Normal"/>
              <w:spacing w:before="0" w:after="0"/>
              <w:rPr>
                <w:b/>
                <w:b/>
                <w:bCs/>
                <w:color w:val="000000"/>
              </w:rPr>
            </w:pPr>
            <w:r>
              <w:rPr>
                <w:b/>
                <w:bCs/>
                <w:color w:val="000000"/>
              </w:rPr>
              <w:t>špičatost</w:t>
            </w:r>
          </w:p>
        </w:tc>
        <w:tc>
          <w:tcPr>
            <w:tcW w:w="1602"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1517"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61" w:type="dxa"/>
            <w:vMerge w:val="continue"/>
            <w:tcBorders>
              <w:left w:val="single" w:sz="4" w:space="0" w:color="000000"/>
              <w:bottom w:val="single" w:sz="4" w:space="0" w:color="000000"/>
              <w:insideH w:val="single" w:sz="4" w:space="0" w:color="000000"/>
            </w:tcBorders>
            <w:shd w:color="auto" w:fill="FFFFFF" w:val="clear"/>
          </w:tcPr>
          <w:p>
            <w:pPr>
              <w:pStyle w:val="Normal"/>
              <w:spacing w:before="0" w:after="160"/>
              <w:rPr/>
            </w:pPr>
            <w:r>
              <w:rPr/>
            </w:r>
          </w:p>
        </w:tc>
        <w:tc>
          <w:tcPr>
            <w:tcW w:w="166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color w:val="000000"/>
              </w:rPr>
            </w:pPr>
            <w:r>
              <w:rPr>
                <w:color w:val="000000"/>
              </w:rPr>
            </w:r>
          </w:p>
        </w:tc>
        <w:tc>
          <w:tcPr>
            <w:tcW w:w="155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color w:val="000000"/>
              </w:rPr>
            </w:pPr>
            <w:r>
              <w:rPr>
                <w:color w:val="000000"/>
              </w:rPr>
            </w:r>
          </w:p>
        </w:tc>
      </w:tr>
      <w:tr>
        <w:trPr>
          <w:trHeight w:val="300" w:hRule="atLeast"/>
        </w:trPr>
        <w:tc>
          <w:tcPr>
            <w:tcW w:w="5382" w:type="dxa"/>
            <w:gridSpan w:val="3"/>
            <w:tcBorders>
              <w:left w:val="single" w:sz="4" w:space="0" w:color="000000"/>
              <w:bottom w:val="single" w:sz="4" w:space="0" w:color="000000"/>
              <w:insideH w:val="single" w:sz="4" w:space="0" w:color="000000"/>
            </w:tcBorders>
            <w:shd w:color="auto" w:fill="C5E0B3" w:val="clear"/>
            <w:vAlign w:val="bottom"/>
          </w:tcPr>
          <w:p>
            <w:pPr>
              <w:pStyle w:val="Normal"/>
              <w:spacing w:before="0" w:after="0"/>
              <w:rPr>
                <w:b/>
                <w:b/>
                <w:bCs/>
                <w:color w:val="000000"/>
              </w:rPr>
            </w:pPr>
            <w:r>
              <w:rPr>
                <w:b/>
                <w:bCs/>
                <w:color w:val="000000"/>
              </w:rPr>
              <w:t>Identifikace odlehlých pozorování – vnitřní hradby</w:t>
            </w:r>
          </w:p>
        </w:tc>
        <w:tc>
          <w:tcPr>
            <w:tcW w:w="61"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before="0" w:after="0"/>
              <w:jc w:val="center"/>
              <w:rPr>
                <w:color w:val="000000"/>
              </w:rPr>
            </w:pPr>
            <w:r>
              <w:rPr>
                <w:color w:val="000000"/>
              </w:rPr>
            </w:r>
          </w:p>
        </w:tc>
        <w:tc>
          <w:tcPr>
            <w:tcW w:w="1664" w:type="dxa"/>
            <w:tcBorders/>
            <w:shd w:fill="auto" w:val="clear"/>
            <w:vAlign w:val="bottom"/>
          </w:tcPr>
          <w:p>
            <w:pPr>
              <w:pStyle w:val="Normal"/>
              <w:spacing w:before="0" w:after="0"/>
              <w:jc w:val="center"/>
              <w:rPr>
                <w:color w:val="000000"/>
              </w:rPr>
            </w:pPr>
            <w:r>
              <w:rPr>
                <w:color w:val="000000"/>
              </w:rPr>
            </w:r>
          </w:p>
        </w:tc>
        <w:tc>
          <w:tcPr>
            <w:tcW w:w="1556" w:type="dxa"/>
            <w:tcBorders/>
            <w:shd w:fill="auto" w:val="clear"/>
            <w:vAlign w:val="bottom"/>
          </w:tcPr>
          <w:p>
            <w:pPr>
              <w:pStyle w:val="Normal"/>
              <w:spacing w:before="0" w:after="0"/>
              <w:jc w:val="center"/>
              <w:rPr>
                <w:color w:val="000000"/>
              </w:rPr>
            </w:pPr>
            <w:r>
              <w:rPr>
                <w:color w:val="000000"/>
              </w:rPr>
            </w:r>
          </w:p>
        </w:tc>
      </w:tr>
      <w:tr>
        <w:trPr>
          <w:trHeight w:val="110" w:hRule="atLeast"/>
        </w:trPr>
        <w:tc>
          <w:tcPr>
            <w:tcW w:w="2263" w:type="dxa"/>
            <w:tcBorders>
              <w:left w:val="single" w:sz="4" w:space="0" w:color="000000"/>
              <w:bottom w:val="single" w:sz="4" w:space="0" w:color="000000"/>
              <w:insideH w:val="single" w:sz="4" w:space="0" w:color="000000"/>
            </w:tcBorders>
            <w:shd w:fill="auto" w:val="clear"/>
            <w:vAlign w:val="bottom"/>
          </w:tcPr>
          <w:p>
            <w:pPr>
              <w:pStyle w:val="Normal"/>
              <w:spacing w:before="0" w:after="0"/>
              <w:rPr>
                <w:b/>
                <w:b/>
                <w:bCs/>
                <w:color w:val="000000"/>
              </w:rPr>
            </w:pPr>
            <w:r>
              <w:rPr>
                <w:b/>
                <w:bCs/>
                <w:color w:val="000000"/>
              </w:rPr>
              <w:t>dolní mez</w:t>
            </w:r>
          </w:p>
        </w:tc>
        <w:tc>
          <w:tcPr>
            <w:tcW w:w="1602"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1517"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61" w:type="dxa"/>
            <w:vMerge w:val="continue"/>
            <w:tcBorders>
              <w:left w:val="single" w:sz="4" w:space="0" w:color="000000"/>
              <w:bottom w:val="single" w:sz="4" w:space="0" w:color="000000"/>
              <w:insideH w:val="single" w:sz="4" w:space="0" w:color="000000"/>
            </w:tcBorders>
            <w:shd w:color="auto" w:fill="FFFFFF" w:val="clear"/>
          </w:tcPr>
          <w:p>
            <w:pPr>
              <w:pStyle w:val="Normal"/>
              <w:spacing w:before="0" w:after="0"/>
              <w:jc w:val="center"/>
              <w:rPr>
                <w:color w:val="000000"/>
              </w:rPr>
            </w:pPr>
            <w:r>
              <w:rPr>
                <w:color w:val="000000"/>
              </w:rPr>
            </w:r>
          </w:p>
        </w:tc>
        <w:tc>
          <w:tcPr>
            <w:tcW w:w="1664" w:type="dxa"/>
            <w:tcBorders/>
            <w:shd w:fill="auto" w:val="clear"/>
            <w:vAlign w:val="bottom"/>
          </w:tcPr>
          <w:p>
            <w:pPr>
              <w:pStyle w:val="Normal"/>
              <w:spacing w:before="0" w:after="0"/>
              <w:jc w:val="center"/>
              <w:rPr>
                <w:color w:val="000000"/>
              </w:rPr>
            </w:pPr>
            <w:r>
              <w:rPr>
                <w:color w:val="000000"/>
              </w:rPr>
            </w:r>
          </w:p>
        </w:tc>
        <w:tc>
          <w:tcPr>
            <w:tcW w:w="1556" w:type="dxa"/>
            <w:tcBorders/>
            <w:shd w:fill="auto" w:val="clear"/>
            <w:vAlign w:val="bottom"/>
          </w:tcPr>
          <w:p>
            <w:pPr>
              <w:pStyle w:val="Normal"/>
              <w:spacing w:before="0" w:after="0"/>
              <w:jc w:val="center"/>
              <w:rPr>
                <w:color w:val="000000"/>
              </w:rPr>
            </w:pPr>
            <w:r>
              <w:rPr>
                <w:color w:val="000000"/>
              </w:rPr>
            </w:r>
          </w:p>
        </w:tc>
      </w:tr>
      <w:tr>
        <w:trPr>
          <w:trHeight w:val="300" w:hRule="atLeast"/>
        </w:trPr>
        <w:tc>
          <w:tcPr>
            <w:tcW w:w="2263" w:type="dxa"/>
            <w:tcBorders>
              <w:left w:val="single" w:sz="4" w:space="0" w:color="000000"/>
              <w:bottom w:val="single" w:sz="4" w:space="0" w:color="000000"/>
              <w:insideH w:val="single" w:sz="4" w:space="0" w:color="000000"/>
            </w:tcBorders>
            <w:shd w:fill="auto" w:val="clear"/>
            <w:vAlign w:val="bottom"/>
          </w:tcPr>
          <w:p>
            <w:pPr>
              <w:pStyle w:val="Normal"/>
              <w:spacing w:before="0" w:after="0"/>
              <w:rPr>
                <w:b/>
                <w:b/>
                <w:bCs/>
                <w:color w:val="000000"/>
              </w:rPr>
            </w:pPr>
            <w:r>
              <w:rPr>
                <w:b/>
                <w:bCs/>
                <w:color w:val="000000"/>
              </w:rPr>
              <w:t>horní mez</w:t>
            </w:r>
          </w:p>
        </w:tc>
        <w:tc>
          <w:tcPr>
            <w:tcW w:w="1602"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1517"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61" w:type="dxa"/>
            <w:vMerge w:val="continue"/>
            <w:tcBorders>
              <w:left w:val="single" w:sz="4" w:space="0" w:color="000000"/>
              <w:bottom w:val="single" w:sz="4" w:space="0" w:color="000000"/>
              <w:insideH w:val="single" w:sz="4" w:space="0" w:color="000000"/>
            </w:tcBorders>
            <w:shd w:color="auto" w:fill="FFFFFF" w:val="clear"/>
          </w:tcPr>
          <w:p>
            <w:pPr>
              <w:pStyle w:val="Normal"/>
              <w:spacing w:before="0" w:after="0"/>
              <w:jc w:val="center"/>
              <w:rPr>
                <w:color w:val="000000"/>
              </w:rPr>
            </w:pPr>
            <w:r>
              <w:rPr>
                <w:color w:val="000000"/>
              </w:rPr>
            </w:r>
          </w:p>
        </w:tc>
        <w:tc>
          <w:tcPr>
            <w:tcW w:w="1664" w:type="dxa"/>
            <w:tcBorders/>
            <w:shd w:fill="auto" w:val="clear"/>
            <w:vAlign w:val="bottom"/>
          </w:tcPr>
          <w:p>
            <w:pPr>
              <w:pStyle w:val="Normal"/>
              <w:spacing w:before="0" w:after="0"/>
              <w:jc w:val="center"/>
              <w:rPr>
                <w:color w:val="000000"/>
              </w:rPr>
            </w:pPr>
            <w:r>
              <w:rPr>
                <w:color w:val="000000"/>
              </w:rPr>
            </w:r>
          </w:p>
        </w:tc>
        <w:tc>
          <w:tcPr>
            <w:tcW w:w="1556" w:type="dxa"/>
            <w:tcBorders/>
            <w:shd w:fill="auto" w:val="clear"/>
            <w:vAlign w:val="bottom"/>
          </w:tcPr>
          <w:p>
            <w:pPr>
              <w:pStyle w:val="Normal"/>
              <w:spacing w:before="0" w:after="0"/>
              <w:jc w:val="center"/>
              <w:rPr>
                <w:color w:val="000000"/>
              </w:rPr>
            </w:pPr>
            <w:r>
              <w:rPr>
                <w:color w:val="000000"/>
              </w:rPr>
            </w:r>
          </w:p>
        </w:tc>
      </w:tr>
    </w:tbl>
    <w:p>
      <w:pPr>
        <w:pStyle w:val="ListParagraph"/>
        <w:rPr>
          <w:b/>
          <w:b/>
        </w:rPr>
      </w:pPr>
      <w:r>
        <w:rPr>
          <w:b/>
        </w:rPr>
      </w:r>
    </w:p>
    <w:p>
      <w:pPr>
        <w:pStyle w:val="ListParagraph"/>
        <w:rPr>
          <w:b/>
          <w:b/>
        </w:rPr>
      </w:pPr>
      <w:r>
        <w:rPr>
          <w:b/>
        </w:rPr>
      </w:r>
    </w:p>
    <w:p>
      <w:pPr>
        <w:pStyle w:val="Normal"/>
        <w:rPr>
          <w:b/>
          <w:b/>
        </w:rPr>
      </w:pPr>
      <w:r>
        <w:rPr>
          <w:b/>
        </w:rPr>
        <w:t>Grafická prezentace (krabicový graf, histogram, q-q graf):</w:t>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pPr>
      <w:r>
        <w:rPr>
          <w:b/>
        </w:rPr>
        <w:t>Dále následuje analýza velikosti zrn měřená automatickou metodou.</w:t>
      </w:r>
    </w:p>
    <w:p>
      <w:pPr>
        <w:pStyle w:val="Normal"/>
        <w:rPr>
          <w:b/>
          <w:b/>
        </w:rPr>
      </w:pPr>
      <w:r>
        <w:rPr>
          <w:b/>
        </w:rPr>
        <w:t>Analýza velikosti zrn abrazivní složky typu A1</w:t>
      </w:r>
    </w:p>
    <w:p>
      <w:pPr>
        <w:pStyle w:val="Normal"/>
        <w:jc w:val="both"/>
        <w:rPr/>
      </w:pPr>
      <w:r>
        <w:rPr/>
        <w:t xml:space="preserve">Během testu byla změřena velikost zrn abrazivní složky u ...... vzorků typu A1. Změřená velikost zrn se pohybovala v rozmezí …….. až ………. nm. Hodnoty velikosti zrn ležící mimo interval </w:t>
      </w:r>
      <w:r>
        <w:rPr>
          <w:u w:val="dotted"/>
        </w:rPr>
        <w:t>......... až ........... nm (</w:t>
      </w:r>
      <w:r>
        <w:rPr/>
        <w:t>vnitřní hradby)</w:t>
      </w:r>
      <w:r>
        <w:rPr>
          <w:u w:val="dotted"/>
        </w:rPr>
        <w:t xml:space="preserve"> byly identifikovány jako odlehlá pozorování a nebudou zahrnuty do dalšího zpracování. Možné příčiny vzniku odlehlých pozorování jsou: ..................................................................... / Žádné z měření nebylo identifikováno jako odlehlé pozorování.</w:t>
      </w:r>
      <w:r>
        <w:rPr/>
        <w:t xml:space="preserve"> Dále uvedené výsledky tedy pocházejí z analýzy velikosti zrn abrazivní složky u ...... vzorků typu A1. Jejich průměrná velikost byla …………….. nm, směrodatná odchylka velikosti pak ………… nm. U poloviny testovaných vzorků velikost zrn nepřekročila …………….. nm. V polovině měření se velikost zrn pohybovala v rozmezí  ………… až ............ nm. Vzhledem k hodnotě variačního koeficientu (……….%) </w:t>
      </w:r>
      <w:r>
        <w:rPr>
          <w:u w:val="dotted"/>
        </w:rPr>
        <w:t>lze / nelze</w:t>
      </w:r>
      <w:r>
        <w:rPr/>
        <w:t xml:space="preserve"> analyzovaný soubor považovat za homogenní.</w:t>
      </w:r>
    </w:p>
    <w:p>
      <w:pPr>
        <w:pStyle w:val="Normal"/>
        <w:jc w:val="both"/>
        <w:rPr/>
      </w:pPr>
      <w:r>
        <w:rPr/>
      </w:r>
    </w:p>
    <w:p>
      <w:pPr>
        <w:pStyle w:val="Normal"/>
        <w:rPr>
          <w:b/>
          <w:b/>
        </w:rPr>
      </w:pPr>
      <w:r>
        <w:rPr>
          <w:b/>
        </w:rPr>
        <w:t>Analýza velikosti zrn abrazivní složky typu A2</w:t>
      </w:r>
    </w:p>
    <w:p>
      <w:pPr>
        <w:pStyle w:val="Normal"/>
        <w:jc w:val="both"/>
        <w:rPr/>
      </w:pPr>
      <w:r>
        <w:rPr/>
        <w:t xml:space="preserve">Během testu byla změřena velikost zrn abrazivní složky u ...... vzorků typu A2. Změřená velikost zrn se pohybovala v rozmezí …….. až ………. nm. Hodnoty velikosti zrn ležící mimo interval </w:t>
      </w:r>
      <w:r>
        <w:rPr>
          <w:u w:val="dotted"/>
        </w:rPr>
        <w:t>......... až ........... nm (</w:t>
      </w:r>
      <w:r>
        <w:rPr/>
        <w:t>vnitřní hradby)</w:t>
      </w:r>
      <w:r>
        <w:rPr>
          <w:u w:val="dotted"/>
        </w:rPr>
        <w:t xml:space="preserve"> byly identifikovány jako odlehlá pozorování a nebudou zahrnuty do dalšího zpracování. Možné příčiny vzniku odlehlých pozorování jsou: ..................................................................... / Žádné z měření nebylo identifikováno jako odlehlé pozorování.</w:t>
      </w:r>
      <w:r>
        <w:rPr/>
        <w:t xml:space="preserve"> Dále uvedené výsledky tedy pocházejí z analýzy velikosti zrn abrazivní složky u ...... vzorků typu A2. Jejich průměrná velikost byla …………….. nm, směrodatná odchylka velikosti pak ………… nm. U poloviny testovaných vzorků velikost zrn nepřekročila …………….. nm. V polovině měření se velikost zrn pohybovala v rozmezí  ………… až ............ nm. Vzhledem k hodnotě variačního koeficientu (……….%) </w:t>
      </w:r>
      <w:r>
        <w:rPr>
          <w:u w:val="dotted"/>
        </w:rPr>
        <w:t>lze / nelze</w:t>
      </w:r>
      <w:r>
        <w:rPr/>
        <w:t xml:space="preserve"> analyzovaný soubor považovat za homogenní.</w:t>
      </w:r>
    </w:p>
    <w:p>
      <w:pPr>
        <w:pStyle w:val="Normal"/>
        <w:jc w:val="both"/>
        <w:rPr/>
      </w:pPr>
      <w:r>
        <w:rPr/>
      </w:r>
    </w:p>
    <w:p>
      <w:pPr>
        <w:pStyle w:val="Normal"/>
        <w:jc w:val="both"/>
        <w:rPr>
          <w:b/>
          <w:b/>
        </w:rPr>
      </w:pPr>
      <w:r>
        <w:rPr>
          <w:b/>
        </w:rPr>
        <w:t>Ověření normality velikosti zrn abrazivní složky typu A1 (na základě explorační analýzy)</w:t>
      </w:r>
    </w:p>
    <w:p>
      <w:pPr>
        <w:pStyle w:val="Normal"/>
        <w:jc w:val="both"/>
        <w:rPr/>
      </w:pPr>
      <w:r>
        <w:rPr/>
        <w:t xml:space="preserve">Na základě grafického zobrazení (viz ……………..) a výběrové šikmosti a špičatosti (viz Tab. 1, výběrová šikmost i špičatost </w:t>
      </w:r>
      <w:r>
        <w:rPr>
          <w:u w:val="dotted"/>
        </w:rPr>
        <w:t>leží / neleží</w:t>
      </w:r>
      <w:r>
        <w:rPr/>
        <w:t xml:space="preserve"> v intervalu </w:t>
      </w:r>
      <w:r>
        <w:rPr/>
      </w:r>
      <m:oMath xmlns:m="http://schemas.openxmlformats.org/officeDocument/2006/math">
        <m:d>
          <m:dPr>
            <m:begChr m:val="("/>
            <m:endChr m:val=")"/>
          </m:dPr>
          <m:e>
            <m:r>
              <w:rPr>
                <w:rFonts w:ascii="Cambria Math" w:hAnsi="Cambria Math"/>
              </w:rPr>
              <m:t xml:space="preserve">−</m:t>
            </m:r>
            <m:r>
              <m:rPr>
                <m:lit/>
                <m:nor/>
              </m:rPr>
              <w:rPr>
                <w:rFonts w:ascii="Cambria Math" w:hAnsi="Cambria Math"/>
              </w:rPr>
              <m:t xml:space="preserve">2</m:t>
            </m:r>
            <m:r>
              <w:rPr>
                <w:rFonts w:ascii="Cambria Math" w:hAnsi="Cambria Math"/>
              </w:rPr>
              <m:t xml:space="preserve">;</m:t>
            </m:r>
            <m:r>
              <m:rPr>
                <m:lit/>
                <m:nor/>
              </m:rPr>
              <w:rPr>
                <w:rFonts w:ascii="Cambria Math" w:hAnsi="Cambria Math"/>
              </w:rPr>
              <m:t xml:space="preserve">2</m:t>
            </m:r>
          </m:e>
        </m:d>
      </m:oMath>
      <w:r>
        <w:rPr>
          <w:rFonts w:eastAsia="Times New Roman"/>
        </w:rPr>
        <w:t xml:space="preserve">) </w:t>
      </w:r>
      <w:r>
        <w:rPr>
          <w:rFonts w:eastAsia="Times New Roman"/>
          <w:u w:val="dotted"/>
        </w:rPr>
        <w:t>lze / nelze</w:t>
      </w:r>
      <w:r>
        <w:rPr>
          <w:rFonts w:eastAsia="Times New Roman"/>
        </w:rPr>
        <w:t xml:space="preserve"> předpokládat, že velikost zrn abrazivní složky typu A1 má normální rozdělení. </w:t>
      </w:r>
      <w:r>
        <w:rPr/>
        <w:t xml:space="preserve">Dle </w:t>
      </w:r>
      <w:r>
        <w:rPr>
          <w:u w:val="dotted"/>
        </w:rPr>
        <w:t>pravidla 3</w:t>
      </w:r>
      <w:r>
        <w:rPr/>
      </w:r>
      <m:oMath xmlns:m="http://schemas.openxmlformats.org/officeDocument/2006/math">
        <m:r>
          <m:rPr>
            <m:lit/>
            <m:nor/>
          </m:rPr>
          <w:rPr>
            <w:rFonts w:ascii="Cambria Math" w:hAnsi="Cambria Math"/>
          </w:rPr>
          <m:t xml:space="preserve">σ</m:t>
        </m:r>
      </m:oMath>
      <w:r>
        <w:rPr>
          <w:rFonts w:eastAsia="Times New Roman"/>
          <w:u w:val="dotted"/>
        </w:rPr>
        <w:t xml:space="preserve"> / </w:t>
      </w:r>
      <w:r>
        <w:rPr>
          <w:u w:val="dotted"/>
        </w:rPr>
        <w:t>Čebyševovy nerovnosti</w:t>
      </w:r>
      <w:r>
        <w:rPr/>
        <w:t xml:space="preserve"> lze tedy očekávat, že </w:t>
      </w:r>
      <w:r>
        <w:rPr>
          <w:u w:val="dotted"/>
        </w:rPr>
        <w:t>přibližně 95 % / více než 75 %</w:t>
      </w:r>
      <w:r>
        <w:rPr/>
        <w:t xml:space="preserve"> vzorků bude mít velikost zrn v rozmezí  ……………. až ……………..……… nm.</w:t>
      </w:r>
    </w:p>
    <w:p>
      <w:pPr>
        <w:pStyle w:val="Normal"/>
        <w:jc w:val="both"/>
        <w:rPr/>
      </w:pPr>
      <w:r>
        <w:rPr/>
      </w:r>
    </w:p>
    <w:p>
      <w:pPr>
        <w:pStyle w:val="Normal"/>
        <w:jc w:val="both"/>
        <w:rPr>
          <w:b/>
          <w:b/>
        </w:rPr>
      </w:pPr>
      <w:r>
        <w:rPr>
          <w:b/>
        </w:rPr>
        <w:t>Ověření normality velikosti zrn abrazivní složky typu A2 (na základě explorační analýzy)</w:t>
      </w:r>
    </w:p>
    <w:p>
      <w:pPr>
        <w:pStyle w:val="Normal"/>
        <w:jc w:val="both"/>
        <w:rPr/>
      </w:pPr>
      <w:r>
        <w:rPr/>
        <w:t xml:space="preserve">Na základě grafického zobrazení (viz ……………..) a výběrové šikmosti a špičatosti (viz Tab. 1, výběrová šikmost i špičatost </w:t>
      </w:r>
      <w:r>
        <w:rPr>
          <w:u w:val="dotted"/>
        </w:rPr>
        <w:t>leží / neleží</w:t>
      </w:r>
      <w:r>
        <w:rPr/>
        <w:t xml:space="preserve"> v intervalu </w:t>
      </w:r>
      <w:r>
        <w:rPr/>
      </w:r>
      <m:oMath xmlns:m="http://schemas.openxmlformats.org/officeDocument/2006/math">
        <m:d>
          <m:dPr>
            <m:begChr m:val="("/>
            <m:endChr m:val=")"/>
          </m:dPr>
          <m:e>
            <m:r>
              <w:rPr>
                <w:rFonts w:ascii="Cambria Math" w:hAnsi="Cambria Math"/>
              </w:rPr>
              <m:t xml:space="preserve">−</m:t>
            </m:r>
            <m:r>
              <m:rPr>
                <m:lit/>
                <m:nor/>
              </m:rPr>
              <w:rPr>
                <w:rFonts w:ascii="Cambria Math" w:hAnsi="Cambria Math"/>
              </w:rPr>
              <m:t xml:space="preserve">2</m:t>
            </m:r>
            <m:r>
              <w:rPr>
                <w:rFonts w:ascii="Cambria Math" w:hAnsi="Cambria Math"/>
              </w:rPr>
              <m:t xml:space="preserve">;</m:t>
            </m:r>
            <m:r>
              <m:rPr>
                <m:lit/>
                <m:nor/>
              </m:rPr>
              <w:rPr>
                <w:rFonts w:ascii="Cambria Math" w:hAnsi="Cambria Math"/>
              </w:rPr>
              <m:t xml:space="preserve">2</m:t>
            </m:r>
          </m:e>
        </m:d>
      </m:oMath>
      <w:r>
        <w:rPr>
          <w:rFonts w:eastAsia="Times New Roman"/>
        </w:rPr>
        <w:t xml:space="preserve">) </w:t>
      </w:r>
      <w:r>
        <w:rPr>
          <w:rFonts w:eastAsia="Times New Roman"/>
          <w:u w:val="dotted"/>
        </w:rPr>
        <w:t>lze / nelze</w:t>
      </w:r>
      <w:r>
        <w:rPr>
          <w:rFonts w:eastAsia="Times New Roman"/>
        </w:rPr>
        <w:t xml:space="preserve"> předpokládat, že velikost zrn abrazivní složky typu A2 má normální rozdělení. </w:t>
      </w:r>
      <w:r>
        <w:rPr/>
        <w:t xml:space="preserve">Dle </w:t>
      </w:r>
      <w:r>
        <w:rPr>
          <w:u w:val="dotted"/>
        </w:rPr>
        <w:t>pravidla 3</w:t>
      </w:r>
      <w:r>
        <w:rPr/>
      </w:r>
      <m:oMath xmlns:m="http://schemas.openxmlformats.org/officeDocument/2006/math">
        <m:r>
          <m:rPr>
            <m:lit/>
            <m:nor/>
          </m:rPr>
          <w:rPr>
            <w:rFonts w:ascii="Cambria Math" w:hAnsi="Cambria Math"/>
          </w:rPr>
          <m:t xml:space="preserve">σ</m:t>
        </m:r>
      </m:oMath>
      <w:r>
        <w:rPr>
          <w:rFonts w:eastAsia="Times New Roman"/>
          <w:u w:val="dotted"/>
        </w:rPr>
        <w:t xml:space="preserve"> / </w:t>
      </w:r>
      <w:r>
        <w:rPr>
          <w:u w:val="dotted"/>
        </w:rPr>
        <w:t>Čebyševovy nerovnosti</w:t>
      </w:r>
      <w:r>
        <w:rPr/>
        <w:t xml:space="preserve"> lze tedy očekávat, že </w:t>
      </w:r>
      <w:r>
        <w:rPr>
          <w:u w:val="dotted"/>
        </w:rPr>
        <w:t>přibližně 95 % / více než 75 %</w:t>
      </w:r>
      <w:r>
        <w:rPr/>
        <w:t xml:space="preserve"> vzorků bude mít velikost zrn v rozmezí  ……………. až ……………..……… nm.</w:t>
      </w:r>
    </w:p>
    <w:p>
      <w:pPr>
        <w:pStyle w:val="Normal"/>
        <w:jc w:val="both"/>
        <w:rPr/>
      </w:pPr>
      <w:r>
        <w:rPr/>
      </w:r>
      <w:r>
        <w:br w:type="page"/>
      </w:r>
    </w:p>
    <w:p>
      <w:pPr>
        <w:pStyle w:val="Normal"/>
        <w:jc w:val="both"/>
        <w:rPr>
          <w:b/>
          <w:b/>
        </w:rPr>
      </w:pPr>
      <w:r>
        <w:rPr>
          <w:b/>
        </w:rPr>
      </w:r>
    </w:p>
    <w:p>
      <w:pPr>
        <w:pStyle w:val="Normal"/>
        <w:jc w:val="both"/>
        <w:rPr/>
      </w:pPr>
      <w:r>
        <w:rPr>
          <w:b/>
        </w:rPr>
        <w:t>Úkol 2.</w:t>
      </w:r>
    </w:p>
    <w:p>
      <w:pPr>
        <w:pStyle w:val="Normal"/>
        <w:jc w:val="both"/>
        <w:rPr/>
      </w:pPr>
      <w:r>
        <w:rPr/>
        <w:t xml:space="preserve">Porovnejte </w:t>
      </w:r>
      <w:r>
        <w:rPr>
          <w:rFonts w:eastAsia="Times New Roman"/>
        </w:rPr>
        <w:t xml:space="preserve">velikosti zrn abrazivní složky </w:t>
      </w:r>
      <w:r>
        <w:rPr>
          <w:rFonts w:eastAsia="Times New Roman"/>
          <w:b/>
          <w:bCs/>
        </w:rPr>
        <w:t>typu A1 a typu A2</w:t>
      </w:r>
      <w:r>
        <w:rPr>
          <w:rFonts w:eastAsia="Times New Roman"/>
        </w:rPr>
        <w:t xml:space="preserve"> měřené </w:t>
      </w:r>
      <w:r>
        <w:rPr>
          <w:rFonts w:eastAsia="Times New Roman"/>
          <w:b/>
          <w:bCs/>
        </w:rPr>
        <w:t>automatickou metodou</w:t>
      </w:r>
      <w:r>
        <w:rPr/>
        <w:t>. Dále ověřte, zda se dají použité metody měření  (manuální a automatická) považovat za srovnatelné. Nezapomeňte, že použité metody mohou vyžadovat splnění určitých předpokladů. Pokud tomu tak bude, okomentujte splnění</w:t>
      </w:r>
      <w:r>
        <w:rPr>
          <w:lang w:val="en-US"/>
        </w:rPr>
        <w:t>/</w:t>
      </w:r>
      <w:r>
        <w:rPr/>
        <w:t xml:space="preserve">nesplnění těchto předpokladů jak </w:t>
      </w:r>
      <w:r>
        <w:rPr>
          <w:b/>
          <w:bCs/>
        </w:rPr>
        <w:t>na základě explorační analýzy</w:t>
      </w:r>
      <w:r>
        <w:rPr/>
        <w:t xml:space="preserve"> </w:t>
      </w:r>
      <w:r>
        <w:rPr>
          <w:lang w:val="en-US"/>
        </w:rPr>
        <w:t>(nap</w:t>
      </w:r>
      <w:r>
        <w:rPr/>
        <w:t xml:space="preserve">ř. s odkazem na histogram apod.), tak </w:t>
      </w:r>
      <w:r>
        <w:rPr>
          <w:b/>
          <w:bCs/>
        </w:rPr>
        <w:t>exaktně</w:t>
      </w:r>
      <w:r>
        <w:rPr/>
        <w:t xml:space="preserve"> pomocí metod statistické indukce.</w:t>
      </w:r>
    </w:p>
    <w:p>
      <w:pPr>
        <w:pStyle w:val="ListParagraph"/>
        <w:numPr>
          <w:ilvl w:val="0"/>
          <w:numId w:val="3"/>
        </w:numPr>
        <w:ind w:left="357" w:hanging="357"/>
        <w:jc w:val="both"/>
        <w:rPr/>
      </w:pPr>
      <w:r>
        <w:rPr/>
        <w:t>Vraťte se ke grafické prezentaci z úkolu 1 a vytvořte si úsudek o srovnání velikosti zrn abrazivní složky typu A1 a typu A2 měřené automatickou metodou.</w:t>
      </w:r>
    </w:p>
    <w:p>
      <w:pPr>
        <w:pStyle w:val="Normal"/>
        <w:jc w:val="both"/>
        <w:rPr/>
      </w:pPr>
      <w:r>
        <w:rPr/>
      </w:r>
    </w:p>
    <w:p>
      <w:pPr>
        <w:pStyle w:val="ListParagraph"/>
        <w:numPr>
          <w:ilvl w:val="0"/>
          <w:numId w:val="3"/>
        </w:numPr>
        <w:ind w:left="357" w:hanging="357"/>
        <w:jc w:val="both"/>
        <w:rPr/>
      </w:pPr>
      <w:r>
        <w:rPr/>
        <w:t>Určete bodové a 95% intervalové odhady pro střední hodnoty (resp. mediány) velikosti zrn abrazivní složky typu A1 a typu A2 měřené automatickou metodou.</w:t>
      </w:r>
    </w:p>
    <w:p>
      <w:pPr>
        <w:pStyle w:val="Normal"/>
        <w:jc w:val="both"/>
        <w:rPr/>
      </w:pPr>
      <w:r>
        <w:rPr/>
      </w:r>
    </w:p>
    <w:p>
      <w:pPr>
        <w:pStyle w:val="ListParagraph"/>
        <w:numPr>
          <w:ilvl w:val="0"/>
          <w:numId w:val="3"/>
        </w:numPr>
        <w:ind w:left="357" w:hanging="357"/>
        <w:jc w:val="both"/>
        <w:rPr/>
      </w:pPr>
      <w:r>
        <w:rPr/>
        <w:t>Určete bodový a 95% intervalový odhad rozdílu středních hodnot (resp. mediánů) velikosti zrn abrazivní složky typu A1 a typu A2 měřené automatickou metodou.</w:t>
      </w:r>
    </w:p>
    <w:p>
      <w:pPr>
        <w:pStyle w:val="ListParagraph"/>
        <w:jc w:val="both"/>
        <w:rPr/>
      </w:pPr>
      <w:r>
        <w:rPr/>
      </w:r>
    </w:p>
    <w:p>
      <w:pPr>
        <w:pStyle w:val="ListParagraph"/>
        <w:numPr>
          <w:ilvl w:val="0"/>
          <w:numId w:val="3"/>
        </w:numPr>
        <w:ind w:left="357" w:hanging="357"/>
        <w:jc w:val="both"/>
        <w:rPr/>
      </w:pPr>
      <w:r>
        <w:rPr/>
        <w:t>Na hladině významnosti 5 % rozhodněte, zda je rozdíl středních hodnot (resp. mediánů) velikosti zrn abrazivní složky typu A1 a typu A2 měřené automatickou metodou statisticky významný.</w:t>
      </w:r>
    </w:p>
    <w:p>
      <w:pPr>
        <w:pStyle w:val="ListParagraph"/>
        <w:ind w:left="357" w:hanging="0"/>
        <w:jc w:val="both"/>
        <w:rPr/>
      </w:pPr>
      <w:r>
        <w:rPr/>
      </w:r>
    </w:p>
    <w:p>
      <w:pPr>
        <w:pStyle w:val="ListParagraph"/>
        <w:numPr>
          <w:ilvl w:val="0"/>
          <w:numId w:val="3"/>
        </w:numPr>
        <w:ind w:left="357" w:hanging="357"/>
        <w:jc w:val="both"/>
        <w:rPr/>
      </w:pPr>
      <w:r>
        <w:rPr/>
        <w:t>Určete bodový a 95% intervalový odhad střední hodnoty (resp. mediánu) rozdílů velikosti zrn zjištěných manuální a automatickou metodou. srovnatelné. (použijte veškerá data, nezávisle na typu abraziva)</w:t>
      </w:r>
    </w:p>
    <w:p>
      <w:pPr>
        <w:pStyle w:val="ListParagraph"/>
        <w:rPr/>
      </w:pPr>
      <w:r>
        <w:rPr/>
      </w:r>
    </w:p>
    <w:p>
      <w:pPr>
        <w:pStyle w:val="ListParagraph"/>
        <w:numPr>
          <w:ilvl w:val="0"/>
          <w:numId w:val="3"/>
        </w:numPr>
        <w:ind w:left="357" w:hanging="357"/>
        <w:jc w:val="both"/>
        <w:rPr/>
      </w:pPr>
      <w:r>
        <w:rPr/>
        <w:t xml:space="preserve">Na hladině významnosti 5 </w:t>
      </w:r>
      <w:r>
        <w:rPr>
          <w:lang w:val="en-US"/>
        </w:rPr>
        <w:t>%</w:t>
      </w:r>
      <w:r>
        <w:rPr/>
        <w:t xml:space="preserve"> rozhodněte, zda jsou manuální a automatická metoda srovnatelné. Tedy, zda je rozdíl mezi oběma měřeními statisticky významný. (použijte veškerá data, nezávisle na typu abraziva)</w:t>
      </w:r>
      <w:r>
        <w:br w:type="page"/>
      </w:r>
    </w:p>
    <w:p>
      <w:pPr>
        <w:pStyle w:val="Normal"/>
        <w:jc w:val="both"/>
        <w:rPr/>
      </w:pPr>
      <w:r>
        <w:rPr>
          <w:b/>
        </w:rPr>
        <w:t>Úkol 3.</w:t>
      </w:r>
    </w:p>
    <w:p>
      <w:pPr>
        <w:pStyle w:val="Normal"/>
        <w:jc w:val="both"/>
        <w:rPr/>
      </w:pPr>
      <w:r>
        <w:rPr/>
        <w:t xml:space="preserve">Na hladině významnosti 5 </w:t>
      </w:r>
      <w:r>
        <w:rPr>
          <w:lang w:val="en-US"/>
        </w:rPr>
        <w:t>%</w:t>
      </w:r>
      <w:r>
        <w:rPr/>
        <w:t xml:space="preserve"> rozhodněte, zda se velikosti zrn abrazivní složky měřené </w:t>
      </w:r>
      <w:r>
        <w:rPr>
          <w:b/>
          <w:bCs/>
        </w:rPr>
        <w:t>automatickou metodou</w:t>
      </w:r>
      <w:r>
        <w:rPr/>
        <w:t xml:space="preserve"> liší v závislosti na typu abraziva. Srovnejte všechny typy abraziva, tj. </w:t>
      </w:r>
      <w:r>
        <w:rPr>
          <w:b/>
          <w:bCs/>
        </w:rPr>
        <w:t>A1, A2, A3, A4</w:t>
      </w:r>
      <w:r>
        <w:rPr/>
        <w:t>. Posouzení proveďte nejprve na základě explorační analýzy a následně pomocí vhodného statistického testu, včetně ověření potřebných předpokladů. V případě, že se velikosti zrn měřené automatickou metodou pro jednotlivé typy abrazivní složky statisticky významně liší, určete, které typy abrazivní složky se statisticky významně odlišují od ostatních, tj. určete homogenní podskupiny typů abrazivních složek (setřiďte sestupně dle velikosti zrn).</w:t>
      </w:r>
    </w:p>
    <w:p>
      <w:pPr>
        <w:pStyle w:val="ListParagraph"/>
        <w:numPr>
          <w:ilvl w:val="0"/>
          <w:numId w:val="7"/>
        </w:numPr>
        <w:suppressAutoHyphens w:val="false"/>
        <w:spacing w:lineRule="auto" w:line="259" w:before="0" w:after="160"/>
        <w:ind w:left="357" w:hanging="360"/>
        <w:contextualSpacing/>
        <w:jc w:val="both"/>
        <w:textAlignment w:val="auto"/>
        <w:rPr/>
      </w:pPr>
      <w:r>
        <w:rPr/>
        <w:t>Daný problém vhodným způsobem graficky prezentujte (vícenásobný krabicový graf).</w:t>
      </w:r>
    </w:p>
    <w:p>
      <w:pPr>
        <w:pStyle w:val="Normal"/>
        <w:suppressAutoHyphens w:val="false"/>
        <w:spacing w:lineRule="auto" w:line="259" w:before="0" w:after="160"/>
        <w:contextualSpacing/>
        <w:jc w:val="both"/>
        <w:textAlignment w:val="auto"/>
        <w:rPr/>
      </w:pPr>
      <w:r>
        <w:rPr/>
      </w:r>
    </w:p>
    <w:p>
      <w:pPr>
        <w:pStyle w:val="ListParagraph"/>
        <w:numPr>
          <w:ilvl w:val="0"/>
          <w:numId w:val="7"/>
        </w:numPr>
        <w:suppressAutoHyphens w:val="false"/>
        <w:spacing w:lineRule="auto" w:line="259" w:before="0" w:after="160"/>
        <w:ind w:left="357" w:hanging="360"/>
        <w:contextualSpacing/>
        <w:jc w:val="both"/>
        <w:textAlignment w:val="auto"/>
        <w:rPr/>
      </w:pPr>
      <w:r>
        <w:rPr/>
        <w:t>Ověřte normalitu velikosti zrn abrazivní složky měřené automatickou metodou všech čtyř typů (</w:t>
      </w:r>
      <w:r>
        <w:rPr>
          <w:b/>
          <w:bCs/>
        </w:rPr>
        <w:t>empiricky i exaktně</w:t>
      </w:r>
      <w:r>
        <w:rPr/>
        <w:t>).</w:t>
      </w:r>
    </w:p>
    <w:p>
      <w:pPr>
        <w:pStyle w:val="Normal"/>
        <w:ind w:left="357" w:hanging="0"/>
        <w:jc w:val="both"/>
        <w:rPr/>
      </w:pPr>
      <w:r>
        <w:rPr/>
      </w:r>
    </w:p>
    <w:p>
      <w:pPr>
        <w:pStyle w:val="ListParagraph"/>
        <w:numPr>
          <w:ilvl w:val="0"/>
          <w:numId w:val="7"/>
        </w:numPr>
        <w:suppressAutoHyphens w:val="false"/>
        <w:spacing w:lineRule="auto" w:line="259" w:before="0" w:after="160"/>
        <w:ind w:left="357" w:hanging="360"/>
        <w:contextualSpacing/>
        <w:jc w:val="both"/>
        <w:textAlignment w:val="auto"/>
        <w:rPr/>
      </w:pPr>
      <w:r>
        <w:rPr/>
        <w:t>Ověřte homoskedasticitu (shodu rozptylů) velikostí zrn abrazivních složek měřených automatickou metodou pro všechny typy abraziv (</w:t>
      </w:r>
      <w:r>
        <w:rPr>
          <w:b/>
          <w:bCs/>
        </w:rPr>
        <w:t>empiricky i exaktně</w:t>
      </w:r>
      <w:r>
        <w:rPr/>
        <w:t>).</w:t>
      </w:r>
    </w:p>
    <w:p>
      <w:pPr>
        <w:pStyle w:val="Normal"/>
        <w:jc w:val="both"/>
        <w:rPr/>
      </w:pPr>
      <w:r>
        <w:rPr/>
      </w:r>
    </w:p>
    <w:p>
      <w:pPr>
        <w:pStyle w:val="ListParagraph"/>
        <w:numPr>
          <w:ilvl w:val="0"/>
          <w:numId w:val="7"/>
        </w:numPr>
        <w:suppressAutoHyphens w:val="false"/>
        <w:spacing w:lineRule="auto" w:line="259" w:before="0" w:after="160"/>
        <w:ind w:left="357" w:hanging="360"/>
        <w:contextualSpacing/>
        <w:jc w:val="both"/>
        <w:textAlignment w:val="auto"/>
        <w:rPr/>
      </w:pPr>
      <w:r>
        <w:rPr/>
        <w:t xml:space="preserve">Určete bodové a 95% intervalové odhady středních hodnot (resp. mediánů) velikostí zrn abrazivních složek měřených automatickou metodou pro všechny typy abraziv. (Nezapomeňte na ověření předpokladů pro použití příslušných intervalových odhadů.) </w:t>
      </w:r>
      <w:r>
        <w:rPr>
          <w:b/>
          <w:bCs/>
        </w:rPr>
        <w:t>Použijte takové odhady, aby korespondovaly s vícevýběrovým testem použitým v bodě e)</w:t>
      </w:r>
      <w:r>
        <w:rPr/>
        <w:t>.</w:t>
      </w:r>
    </w:p>
    <w:p>
      <w:pPr>
        <w:pStyle w:val="ListParagraph"/>
        <w:suppressAutoHyphens w:val="false"/>
        <w:spacing w:lineRule="auto" w:line="259" w:before="0" w:after="160"/>
        <w:ind w:left="717" w:hanging="0"/>
        <w:contextualSpacing/>
        <w:jc w:val="both"/>
        <w:textAlignment w:val="auto"/>
        <w:rPr/>
      </w:pPr>
      <w:r>
        <w:rPr/>
      </w:r>
    </w:p>
    <w:p>
      <w:pPr>
        <w:pStyle w:val="ListParagraph"/>
        <w:numPr>
          <w:ilvl w:val="0"/>
          <w:numId w:val="7"/>
        </w:numPr>
        <w:suppressAutoHyphens w:val="false"/>
        <w:spacing w:lineRule="auto" w:line="259" w:before="0" w:after="160"/>
        <w:ind w:left="357" w:hanging="360"/>
        <w:contextualSpacing/>
        <w:jc w:val="both"/>
        <w:textAlignment w:val="auto"/>
        <w:rPr/>
      </w:pPr>
      <w:r>
        <w:rPr/>
        <w:t>Čistým testem významnosti ověřte, zda je pozorovaný rozdíl středních hodnot (resp. mediánů) velikostí zrn abrazivních složek měřených automatickou metodou statisticky významný na hladině významnosti 5 %. Pokud ano, určete pořadí typů abraziv dle naměřených velikosti zrn vzestupně. (Nezapomeňte na ověření předpokladů pro použití zvoleného testu.)</w:t>
      </w:r>
    </w:p>
    <w:p>
      <w:pPr>
        <w:pStyle w:val="Normal"/>
        <w:jc w:val="both"/>
        <w:rPr/>
      </w:pPr>
      <w:r>
        <w:rPr/>
      </w:r>
    </w:p>
    <w:p>
      <w:pPr>
        <w:pStyle w:val="Normal"/>
        <w:ind w:left="357" w:hanging="0"/>
        <w:jc w:val="both"/>
        <w:rPr/>
      </w:pPr>
      <w:r>
        <w:rPr/>
      </w:r>
      <w:r>
        <w:br w:type="page"/>
      </w:r>
    </w:p>
    <w:p>
      <w:pPr>
        <w:pStyle w:val="Normal"/>
        <w:jc w:val="both"/>
        <w:rPr/>
      </w:pPr>
      <w:r>
        <w:rPr>
          <w:b/>
        </w:rPr>
        <w:t>Úkol 4.</w:t>
      </w:r>
    </w:p>
    <w:p>
      <w:pPr>
        <w:pStyle w:val="Normal"/>
        <w:jc w:val="both"/>
        <w:rPr/>
      </w:pPr>
      <w:r>
        <w:rPr/>
        <w:t xml:space="preserve">Zjistěte (empiricky i exaktně), zda existuje statisticky významná závislost mezi typem abraziva a výsledkem chemického testu. </w:t>
      </w:r>
      <w:r>
        <w:rPr>
          <w:b/>
          <w:bCs/>
        </w:rPr>
        <w:t>Použijte veškerá dostupná data.</w:t>
      </w:r>
    </w:p>
    <w:p>
      <w:pPr>
        <w:pStyle w:val="ListParagraph"/>
        <w:numPr>
          <w:ilvl w:val="0"/>
          <w:numId w:val="4"/>
        </w:numPr>
        <w:ind w:left="357" w:hanging="357"/>
        <w:jc w:val="both"/>
        <w:rPr/>
      </w:pPr>
      <w:r>
        <w:rPr/>
        <w:t>Analyzujte skladbu abraziv dle toho, zda prošla, nebo neprošla chemickým testem (pro výrobce A1, A2, A3, A4). Výsledky prezentujte pomocí kontingenční tabulky, vhodného grafu a vhodné míry kontingence.</w:t>
      </w:r>
    </w:p>
    <w:p>
      <w:pPr>
        <w:pStyle w:val="Normal"/>
        <w:jc w:val="both"/>
        <w:rPr/>
      </w:pPr>
      <w:r>
        <w:rPr/>
      </w:r>
    </w:p>
    <w:p>
      <w:pPr>
        <w:pStyle w:val="ListParagraph"/>
        <w:numPr>
          <w:ilvl w:val="0"/>
          <w:numId w:val="4"/>
        </w:numPr>
        <w:ind w:left="357" w:hanging="357"/>
        <w:jc w:val="both"/>
        <w:rPr/>
      </w:pPr>
      <w:r>
        <w:rPr/>
        <w:t>Určete bodový i 95% intervalový odhad rizika (pravděpodobnosti) negativního výsledku chemického testu pro typ A3. (Nezapomeňte na ověření předpokladu pro použití příslušného intervalového odhadu.)</w:t>
      </w:r>
    </w:p>
    <w:p>
      <w:pPr>
        <w:pStyle w:val="Normal"/>
        <w:jc w:val="both"/>
        <w:rPr/>
      </w:pPr>
      <w:r>
        <w:rPr/>
      </w:r>
    </w:p>
    <w:p>
      <w:pPr>
        <w:pStyle w:val="ListParagraph"/>
        <w:numPr>
          <w:ilvl w:val="0"/>
          <w:numId w:val="4"/>
        </w:numPr>
        <w:ind w:left="357" w:hanging="357"/>
        <w:jc w:val="both"/>
        <w:rPr/>
      </w:pPr>
      <w:r>
        <w:rPr/>
        <w:t>Určete bodový i 95% intervalový odhad relativního rizika negativního výsledku chemického testu abraziva typu A3 vzhledem k ostatním typům dohromady (zde skupina A3 vs. skupina A1+A2+A4). Výsledky slovně interpretujte.</w:t>
      </w:r>
    </w:p>
    <w:p>
      <w:pPr>
        <w:pStyle w:val="Normal"/>
        <w:jc w:val="both"/>
        <w:rPr/>
      </w:pPr>
      <w:r>
        <w:rPr/>
      </w:r>
    </w:p>
    <w:p>
      <w:pPr>
        <w:pStyle w:val="ListParagraph"/>
        <w:numPr>
          <w:ilvl w:val="0"/>
          <w:numId w:val="4"/>
        </w:numPr>
        <w:ind w:left="357" w:hanging="357"/>
        <w:jc w:val="both"/>
        <w:rPr/>
      </w:pPr>
      <w:r>
        <w:rPr/>
        <w:t>Určete bodový i 95% intervalový odhad poměru šancí negativního výsledku chemického testu abraziva typu A3 vzhledem k ostatním typům dohromady (zde skupina A3 vs. skupina A1+A2+A4). Výsledky slovně interpretujte.</w:t>
      </w:r>
    </w:p>
    <w:p>
      <w:pPr>
        <w:pStyle w:val="Normal"/>
        <w:jc w:val="both"/>
        <w:rPr/>
      </w:pPr>
      <w:r>
        <w:rPr/>
      </w:r>
    </w:p>
    <w:p>
      <w:pPr>
        <w:pStyle w:val="ListParagraph"/>
        <w:numPr>
          <w:ilvl w:val="0"/>
          <w:numId w:val="4"/>
        </w:numPr>
        <w:ind w:left="357" w:hanging="357"/>
        <w:jc w:val="both"/>
        <w:rPr/>
      </w:pPr>
      <w:r>
        <w:rPr/>
        <w:t xml:space="preserve">Pomocí chí-kvadrát testu nezávislosti rozhodněte, jestli pravděpodobnost negativního výsledku chemického testu závisí statisticky významně na typu testovaného abraziva. (Nezapomeňte na ověření předpokladů testu.) </w:t>
      </w:r>
    </w:p>
    <w:p>
      <w:pPr>
        <w:pStyle w:val="ListParagraph"/>
        <w:ind w:left="357" w:hanging="357"/>
        <w:jc w:val="both"/>
        <w:rPr/>
      </w:pPr>
      <w:r>
        <w:rPr/>
      </w:r>
      <w:r>
        <w:br w:type="page"/>
      </w:r>
    </w:p>
    <w:p>
      <w:pPr>
        <w:pStyle w:val="ListParagraph"/>
        <w:ind w:left="357" w:hanging="357"/>
        <w:jc w:val="both"/>
        <w:rPr/>
      </w:pPr>
      <w:r>
        <w:rPr/>
      </w:r>
    </w:p>
    <w:p>
      <w:pPr>
        <w:pStyle w:val="ListParagraph"/>
        <w:ind w:left="357" w:hanging="357"/>
        <w:jc w:val="both"/>
        <w:rPr/>
      </w:pPr>
      <w:r>
        <w:rPr/>
        <w:t>Jak identifikovat, zda jsou v datech odlehlá pozorování?</w:t>
      </w:r>
    </w:p>
    <w:p>
      <w:pPr>
        <w:pStyle w:val="Normal"/>
        <w:jc w:val="both"/>
        <w:rPr>
          <w:i/>
          <w:i/>
          <w:u w:val="single"/>
        </w:rPr>
      </w:pPr>
      <w:r>
        <w:rPr>
          <w:i/>
          <w:u w:val="single"/>
        </w:rPr>
      </w:r>
    </w:p>
    <w:p>
      <w:pPr>
        <w:pStyle w:val="Normal"/>
        <w:jc w:val="both"/>
        <w:rPr>
          <w:i/>
          <w:i/>
          <w:u w:val="single"/>
        </w:rPr>
      </w:pPr>
      <w:r>
        <w:rPr>
          <w:i/>
          <w:u w:val="single"/>
        </w:rPr>
        <w:t xml:space="preserve">Emiprické posouzení: </w:t>
      </w:r>
    </w:p>
    <w:p>
      <w:pPr>
        <w:pStyle w:val="ListParagraph"/>
        <w:numPr>
          <w:ilvl w:val="0"/>
          <w:numId w:val="5"/>
        </w:numPr>
        <w:suppressAutoHyphens w:val="false"/>
        <w:spacing w:lineRule="auto" w:line="259" w:before="0" w:after="160"/>
        <w:contextualSpacing/>
        <w:jc w:val="both"/>
        <w:textAlignment w:val="auto"/>
        <w:rPr/>
      </w:pPr>
      <w:r>
        <w:rPr>
          <w:i/>
        </w:rPr>
        <w:t xml:space="preserve">použití vnitřních (vnějších) hradeb, resp. </w:t>
      </w:r>
      <w:r>
        <w:rPr/>
      </w:r>
      <m:oMath xmlns:m="http://schemas.openxmlformats.org/officeDocument/2006/math">
        <m:r>
          <w:rPr>
            <w:rFonts w:ascii="Cambria Math" w:hAnsi="Cambria Math"/>
          </w:rPr>
          <m:t xml:space="preserve">z</m:t>
        </m:r>
        <m:r>
          <w:rPr>
            <w:rFonts w:ascii="Cambria Math" w:hAnsi="Cambria Math"/>
          </w:rPr>
          <m:t xml:space="preserve">−</m:t>
        </m:r>
        <m:r>
          <w:rPr>
            <w:rFonts w:ascii="Cambria Math" w:hAnsi="Cambria Math"/>
          </w:rPr>
          <m:t xml:space="preserve">sou</m:t>
        </m:r>
        <m:r>
          <w:rPr>
            <w:rFonts w:ascii="Cambria Math" w:hAnsi="Cambria Math"/>
          </w:rPr>
          <m:t xml:space="preserve">ř</m:t>
        </m:r>
        <m:r>
          <w:rPr>
            <w:rFonts w:ascii="Cambria Math" w:hAnsi="Cambria Math"/>
          </w:rPr>
          <m:t xml:space="preserve">adnice</m:t>
        </m:r>
      </m:oMath>
      <w:r>
        <w:rPr>
          <w:i/>
        </w:rPr>
        <w:t xml:space="preserve">, resp. </w:t>
      </w:r>
      <w:r>
        <w:rPr/>
      </w:r>
      <m:oMath xmlns:m="http://schemas.openxmlformats.org/officeDocument/2006/math">
        <m:r>
          <w:rPr>
            <w:rFonts w:ascii="Cambria Math" w:hAnsi="Cambria Math"/>
          </w:rPr>
          <m:t xml:space="preserve">medi</m:t>
        </m:r>
        <m:r>
          <w:rPr>
            <w:rFonts w:ascii="Cambria Math" w:hAnsi="Cambria Math"/>
          </w:rPr>
          <m:t xml:space="preserve">á</m:t>
        </m:r>
        <m:r>
          <w:rPr>
            <w:rFonts w:ascii="Cambria Math" w:hAnsi="Cambria Math"/>
          </w:rPr>
          <m:t xml:space="preserve">nov</m:t>
        </m:r>
        <m:r>
          <w:rPr>
            <w:rFonts w:ascii="Cambria Math" w:hAnsi="Cambria Math"/>
          </w:rPr>
          <m:t xml:space="preserve">á</m:t>
        </m:r>
        <m:r>
          <w:rPr>
            <w:rFonts w:ascii="Cambria Math" w:hAnsi="Cambria Math"/>
          </w:rPr>
          <m:t xml:space="preserve">su</m:t>
        </m:r>
        <m:r>
          <w:rPr>
            <w:rFonts w:ascii="Cambria Math" w:hAnsi="Cambria Math"/>
          </w:rPr>
          <m:t xml:space="preserve">ř</m:t>
        </m:r>
        <m:r>
          <w:rPr>
            <w:rFonts w:ascii="Cambria Math" w:hAnsi="Cambria Math"/>
          </w:rPr>
          <m:t xml:space="preserve">adnice</m:t>
        </m:r>
      </m:oMath>
      <w:r>
        <w:rPr>
          <w:i/>
        </w:rPr>
        <w:t>,</w:t>
      </w:r>
    </w:p>
    <w:p>
      <w:pPr>
        <w:pStyle w:val="ListParagraph"/>
        <w:numPr>
          <w:ilvl w:val="0"/>
          <w:numId w:val="5"/>
        </w:numPr>
        <w:suppressAutoHyphens w:val="false"/>
        <w:spacing w:lineRule="auto" w:line="259" w:before="0" w:after="160"/>
        <w:contextualSpacing/>
        <w:jc w:val="both"/>
        <w:textAlignment w:val="auto"/>
        <w:rPr>
          <w:i/>
          <w:i/>
        </w:rPr>
      </w:pPr>
      <w:r>
        <w:rPr>
          <w:i/>
        </w:rPr>
        <w:t>vizuální posouzení krabicového grafu.</w:t>
      </w:r>
    </w:p>
    <w:p>
      <w:pPr>
        <w:pStyle w:val="Normal"/>
        <w:jc w:val="both"/>
        <w:rPr>
          <w:i/>
          <w:i/>
          <w:u w:val="single"/>
        </w:rPr>
      </w:pPr>
      <w:r>
        <w:rPr>
          <w:i/>
          <w:u w:val="single"/>
        </w:rPr>
        <w:t>Exaktní posouzení:</w:t>
      </w:r>
    </w:p>
    <w:p>
      <w:pPr>
        <w:pStyle w:val="ListParagraph"/>
        <w:numPr>
          <w:ilvl w:val="0"/>
          <w:numId w:val="6"/>
        </w:numPr>
        <w:suppressAutoHyphens w:val="false"/>
        <w:spacing w:lineRule="auto" w:line="259" w:before="0" w:after="160"/>
        <w:contextualSpacing/>
        <w:jc w:val="both"/>
        <w:textAlignment w:val="auto"/>
        <w:rPr>
          <w:i/>
          <w:i/>
        </w:rPr>
      </w:pPr>
      <w:r>
        <w:rPr>
          <w:i/>
        </w:rPr>
        <w:t>Grubbsův test (parametrický test - vyžaduje normalitu dat)</w:t>
      </w:r>
    </w:p>
    <w:p>
      <w:pPr>
        <w:pStyle w:val="ListParagraph"/>
        <w:numPr>
          <w:ilvl w:val="0"/>
          <w:numId w:val="6"/>
        </w:numPr>
        <w:suppressAutoHyphens w:val="false"/>
        <w:spacing w:lineRule="auto" w:line="259" w:before="0" w:after="160"/>
        <w:contextualSpacing/>
        <w:jc w:val="both"/>
        <w:textAlignment w:val="auto"/>
        <w:rPr>
          <w:i/>
          <w:i/>
        </w:rPr>
      </w:pPr>
      <w:r>
        <w:rPr>
          <w:i/>
        </w:rPr>
        <w:t>Deanův - Dixonův test (neparametrický test)</w:t>
      </w:r>
    </w:p>
    <w:p>
      <w:pPr>
        <w:pStyle w:val="Normal"/>
        <w:jc w:val="both"/>
        <w:rPr>
          <w:i/>
          <w:i/>
        </w:rPr>
      </w:pPr>
      <w:r>
        <w:rPr>
          <w:i/>
        </w:rPr>
        <w:t>Jak naložit s odlehlými hodnotami by měl definovat hlavně zadavatel analýzy (expert na danou problematiku).</w:t>
      </w:r>
    </w:p>
    <w:p>
      <w:pPr>
        <w:pStyle w:val="Normal"/>
        <w:jc w:val="both"/>
        <w:rPr>
          <w:i/>
          <w:i/>
        </w:rPr>
      </w:pPr>
      <w:r>
        <w:rPr>
          <w:i/>
        </w:rPr>
      </w:r>
    </w:p>
    <w:p>
      <w:pPr>
        <w:pStyle w:val="Heading2"/>
        <w:rPr/>
      </w:pPr>
      <w:r>
        <w:rPr/>
        <w:t>Jak ověřit normalitu dat?</w:t>
      </w:r>
    </w:p>
    <w:p>
      <w:pPr>
        <w:pStyle w:val="Normal"/>
        <w:jc w:val="both"/>
        <w:rPr>
          <w:i/>
          <w:i/>
          <w:u w:val="single"/>
        </w:rPr>
      </w:pPr>
      <w:r>
        <w:rPr>
          <w:i/>
          <w:u w:val="single"/>
        </w:rPr>
      </w:r>
    </w:p>
    <w:p>
      <w:pPr>
        <w:pStyle w:val="Normal"/>
        <w:jc w:val="both"/>
        <w:rPr>
          <w:i/>
          <w:i/>
          <w:u w:val="single"/>
        </w:rPr>
      </w:pPr>
      <w:r>
        <w:rPr>
          <w:i/>
          <w:u w:val="single"/>
        </w:rPr>
        <w:t xml:space="preserve">Emiprické posouzení: </w:t>
      </w:r>
    </w:p>
    <w:p>
      <w:pPr>
        <w:pStyle w:val="ListParagraph"/>
        <w:numPr>
          <w:ilvl w:val="0"/>
          <w:numId w:val="5"/>
        </w:numPr>
        <w:suppressAutoHyphens w:val="false"/>
        <w:spacing w:lineRule="auto" w:line="259" w:before="0" w:after="160"/>
        <w:contextualSpacing/>
        <w:jc w:val="both"/>
        <w:textAlignment w:val="auto"/>
        <w:rPr>
          <w:i/>
          <w:i/>
        </w:rPr>
      </w:pPr>
      <w:r>
        <w:rPr>
          <w:i/>
        </w:rPr>
        <w:t>vizuální posouzení histogramu,</w:t>
      </w:r>
    </w:p>
    <w:p>
      <w:pPr>
        <w:pStyle w:val="ListParagraph"/>
        <w:numPr>
          <w:ilvl w:val="0"/>
          <w:numId w:val="5"/>
        </w:numPr>
        <w:suppressAutoHyphens w:val="false"/>
        <w:spacing w:lineRule="auto" w:line="259" w:before="0" w:after="160"/>
        <w:contextualSpacing/>
        <w:jc w:val="both"/>
        <w:textAlignment w:val="auto"/>
        <w:rPr>
          <w:i/>
          <w:i/>
        </w:rPr>
      </w:pPr>
      <w:r>
        <w:rPr>
          <w:i/>
        </w:rPr>
        <w:t>vizuální posouzení grafu odhadu hustoty pravděpodobnosti,</w:t>
      </w:r>
    </w:p>
    <w:p>
      <w:pPr>
        <w:pStyle w:val="ListParagraph"/>
        <w:numPr>
          <w:ilvl w:val="0"/>
          <w:numId w:val="5"/>
        </w:numPr>
        <w:suppressAutoHyphens w:val="false"/>
        <w:spacing w:lineRule="auto" w:line="259" w:before="0" w:after="160"/>
        <w:contextualSpacing/>
        <w:jc w:val="both"/>
        <w:textAlignment w:val="auto"/>
        <w:rPr>
          <w:i/>
          <w:i/>
        </w:rPr>
      </w:pPr>
      <w:r>
        <w:rPr>
          <w:i/>
        </w:rPr>
        <w:t>Q-Q graf,</w:t>
      </w:r>
    </w:p>
    <w:p>
      <w:pPr>
        <w:pStyle w:val="ListParagraph"/>
        <w:numPr>
          <w:ilvl w:val="0"/>
          <w:numId w:val="5"/>
        </w:numPr>
        <w:suppressAutoHyphens w:val="false"/>
        <w:spacing w:lineRule="auto" w:line="259" w:before="0" w:after="160"/>
        <w:contextualSpacing/>
        <w:jc w:val="both"/>
        <w:textAlignment w:val="auto"/>
        <w:rPr>
          <w:i/>
          <w:i/>
        </w:rPr>
      </w:pPr>
      <w:r>
        <w:rPr>
          <w:i/>
        </w:rPr>
        <w:t>P-P graf,</w:t>
      </w:r>
    </w:p>
    <w:p>
      <w:pPr>
        <w:pStyle w:val="ListParagraph"/>
        <w:numPr>
          <w:ilvl w:val="0"/>
          <w:numId w:val="5"/>
        </w:numPr>
        <w:suppressAutoHyphens w:val="false"/>
        <w:spacing w:lineRule="auto" w:line="259" w:before="0" w:after="160"/>
        <w:contextualSpacing/>
        <w:jc w:val="both"/>
        <w:textAlignment w:val="auto"/>
        <w:rPr>
          <w:i/>
          <w:i/>
        </w:rPr>
      </w:pPr>
      <w:r>
        <w:rPr>
          <w:i/>
        </w:rPr>
        <w:t>posouzení výběrové šikmosti a výběrové špičatosti.</w:t>
      </w:r>
    </w:p>
    <w:p>
      <w:pPr>
        <w:pStyle w:val="Normal"/>
        <w:jc w:val="both"/>
        <w:rPr>
          <w:i/>
          <w:i/>
          <w:u w:val="single"/>
        </w:rPr>
      </w:pPr>
      <w:r>
        <w:rPr>
          <w:i/>
          <w:u w:val="single"/>
        </w:rPr>
        <w:t>Exaktní posouzení:</w:t>
      </w:r>
    </w:p>
    <w:p>
      <w:pPr>
        <w:pStyle w:val="ListParagraph"/>
        <w:numPr>
          <w:ilvl w:val="0"/>
          <w:numId w:val="6"/>
        </w:numPr>
        <w:suppressAutoHyphens w:val="false"/>
        <w:spacing w:lineRule="auto" w:line="259" w:before="0" w:after="160"/>
        <w:contextualSpacing/>
        <w:jc w:val="both"/>
        <w:textAlignment w:val="auto"/>
        <w:rPr/>
      </w:pPr>
      <w:r>
        <w:rPr>
          <w:i/>
        </w:rPr>
        <w:t xml:space="preserve">testy normality (např. Shapirův – Wilkův test, </w:t>
      </w:r>
      <w:r>
        <w:rPr>
          <w:bCs/>
          <w:i/>
        </w:rPr>
        <w:t>Andersonův-Darlingův test, Lillieforsův test, …)</w:t>
      </w:r>
    </w:p>
    <w:p>
      <w:pPr>
        <w:pStyle w:val="Normal"/>
        <w:jc w:val="both"/>
        <w:rPr>
          <w:i/>
          <w:i/>
        </w:rPr>
      </w:pPr>
      <w:r>
        <w:rPr>
          <w:i/>
        </w:rPr>
      </w:r>
    </w:p>
    <w:p>
      <w:pPr>
        <w:pStyle w:val="Heading2"/>
        <w:rPr/>
      </w:pPr>
      <w:r>
        <w:rPr/>
        <w:t>Jak ověřit homoskedasticitu (shodu rozptylů)?</w:t>
      </w:r>
    </w:p>
    <w:p>
      <w:pPr>
        <w:pStyle w:val="Normal"/>
        <w:jc w:val="both"/>
        <w:rPr>
          <w:i/>
          <w:i/>
          <w:u w:val="single"/>
        </w:rPr>
      </w:pPr>
      <w:r>
        <w:rPr>
          <w:i/>
          <w:u w:val="single"/>
        </w:rPr>
      </w:r>
    </w:p>
    <w:p>
      <w:pPr>
        <w:pStyle w:val="Normal"/>
        <w:jc w:val="both"/>
        <w:rPr>
          <w:i/>
          <w:i/>
          <w:u w:val="single"/>
        </w:rPr>
      </w:pPr>
      <w:r>
        <w:rPr>
          <w:i/>
          <w:u w:val="single"/>
        </w:rPr>
        <w:t xml:space="preserve">Emiprické posouzení: </w:t>
      </w:r>
    </w:p>
    <w:p>
      <w:pPr>
        <w:pStyle w:val="ListParagraph"/>
        <w:numPr>
          <w:ilvl w:val="0"/>
          <w:numId w:val="5"/>
        </w:numPr>
        <w:suppressAutoHyphens w:val="false"/>
        <w:spacing w:lineRule="auto" w:line="259" w:before="0" w:after="160"/>
        <w:contextualSpacing/>
        <w:jc w:val="both"/>
        <w:textAlignment w:val="auto"/>
        <w:rPr>
          <w:i/>
          <w:i/>
        </w:rPr>
      </w:pPr>
      <w:r>
        <w:rPr>
          <w:i/>
        </w:rPr>
        <w:t>poměr největší a nejmenší směrodatné odchylky,</w:t>
      </w:r>
    </w:p>
    <w:p>
      <w:pPr>
        <w:pStyle w:val="ListParagraph"/>
        <w:numPr>
          <w:ilvl w:val="0"/>
          <w:numId w:val="5"/>
        </w:numPr>
        <w:suppressAutoHyphens w:val="false"/>
        <w:spacing w:lineRule="auto" w:line="259" w:before="0" w:after="160"/>
        <w:contextualSpacing/>
        <w:jc w:val="both"/>
        <w:textAlignment w:val="auto"/>
        <w:rPr>
          <w:i/>
          <w:i/>
        </w:rPr>
      </w:pPr>
      <w:r>
        <w:rPr>
          <w:i/>
        </w:rPr>
        <w:t>vizuální posouzení krabicového grafu.</w:t>
      </w:r>
    </w:p>
    <w:p>
      <w:pPr>
        <w:pStyle w:val="Normal"/>
        <w:jc w:val="both"/>
        <w:rPr>
          <w:i/>
          <w:i/>
          <w:u w:val="single"/>
        </w:rPr>
      </w:pPr>
      <w:r>
        <w:rPr>
          <w:i/>
          <w:u w:val="single"/>
        </w:rPr>
        <w:t>Exaktní posouzení:</w:t>
      </w:r>
    </w:p>
    <w:p>
      <w:pPr>
        <w:pStyle w:val="ListParagraph"/>
        <w:numPr>
          <w:ilvl w:val="0"/>
          <w:numId w:val="6"/>
        </w:numPr>
        <w:suppressAutoHyphens w:val="false"/>
        <w:spacing w:lineRule="auto" w:line="259" w:before="0" w:after="160"/>
        <w:contextualSpacing/>
        <w:jc w:val="both"/>
        <w:textAlignment w:val="auto"/>
        <w:rPr>
          <w:i/>
          <w:i/>
        </w:rPr>
      </w:pPr>
      <w:r>
        <w:rPr>
          <w:i/>
        </w:rPr>
        <w:t>F – test (parametrický dvouvýběrový test),</w:t>
      </w:r>
    </w:p>
    <w:p>
      <w:pPr>
        <w:pStyle w:val="ListParagraph"/>
        <w:numPr>
          <w:ilvl w:val="0"/>
          <w:numId w:val="6"/>
        </w:numPr>
        <w:suppressAutoHyphens w:val="false"/>
        <w:spacing w:lineRule="auto" w:line="259" w:before="0" w:after="160"/>
        <w:contextualSpacing/>
        <w:jc w:val="both"/>
        <w:textAlignment w:val="auto"/>
        <w:rPr>
          <w:i/>
          <w:i/>
        </w:rPr>
      </w:pPr>
      <w:r>
        <w:rPr>
          <w:i/>
        </w:rPr>
        <w:t>Bartlettův test (parametrický vícevýběrový test),</w:t>
      </w:r>
    </w:p>
    <w:p>
      <w:pPr>
        <w:pStyle w:val="ListParagraph"/>
        <w:numPr>
          <w:ilvl w:val="0"/>
          <w:numId w:val="6"/>
        </w:numPr>
        <w:suppressAutoHyphens w:val="false"/>
        <w:spacing w:lineRule="auto" w:line="259" w:before="0" w:after="160"/>
        <w:contextualSpacing/>
        <w:jc w:val="both"/>
        <w:textAlignment w:val="auto"/>
        <w:rPr>
          <w:i/>
          <w:i/>
        </w:rPr>
      </w:pPr>
      <w:r>
        <w:rPr>
          <w:i/>
        </w:rPr>
        <w:t>Leveneův test (neparametrický test).</w:t>
      </w:r>
    </w:p>
    <w:p>
      <w:pPr>
        <w:pStyle w:val="ListParagraph"/>
        <w:spacing w:before="0" w:after="160"/>
        <w:ind w:left="357" w:hanging="0"/>
        <w:jc w:val="both"/>
        <w:rPr/>
      </w:pPr>
      <w:r>
        <w:rPr/>
      </w:r>
    </w:p>
    <w:sectPr>
      <w:headerReference w:type="default" r:id="rId2"/>
      <w:headerReference w:type="first" r:id="rId3"/>
      <w:footerReference w:type="default" r:id="rId4"/>
      <w:footerReference w:type="first" r:id="rId5"/>
      <w:type w:val="nextPage"/>
      <w:pgSz w:w="11906" w:h="16838"/>
      <w:pgMar w:left="1417" w:right="1417" w:header="1417" w:top="1956" w:footer="1417" w:bottom="1956" w:gutter="0"/>
      <w:pgNumType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9</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1</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t>Zadání 16.</w:t>
      <w:tab/>
      <w:tab/>
      <w:t>Jméno Příjmení</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0" w:hanging="0"/>
      </w:pPr>
      <w:rPr>
        <w:rFonts w:ascii="Symbol" w:hAnsi="Symbol" w:cs="Symbol" w:hint="default"/>
        <w:rFonts w:cs="Symbol"/>
      </w:rPr>
    </w:lvl>
    <w:lvl w:ilvl="1">
      <w:start w:val="1"/>
      <w:numFmt w:val="bullet"/>
      <w:lvlText w:val="o"/>
      <w:lvlJc w:val="left"/>
      <w:pPr>
        <w:ind w:left="0" w:hanging="0"/>
      </w:pPr>
      <w:rPr>
        <w:rFonts w:ascii="Courier New" w:hAnsi="Courier New" w:cs="Courier New" w:hint="default"/>
        <w:rFonts w:cs="Courier New"/>
      </w:rPr>
    </w:lvl>
    <w:lvl w:ilvl="2">
      <w:start w:val="1"/>
      <w:numFmt w:val="bullet"/>
      <w:lvlText w:val=""/>
      <w:lvlJc w:val="left"/>
      <w:pPr>
        <w:ind w:left="0" w:hanging="0"/>
      </w:pPr>
      <w:rPr>
        <w:rFonts w:ascii="Wingdings" w:hAnsi="Wingdings" w:cs="Wingdings" w:hint="default"/>
        <w:rFonts w:cs="Wingdings"/>
      </w:rPr>
    </w:lvl>
    <w:lvl w:ilvl="3">
      <w:start w:val="1"/>
      <w:numFmt w:val="bullet"/>
      <w:lvlText w:val=""/>
      <w:lvlJc w:val="left"/>
      <w:pPr>
        <w:ind w:left="0" w:hanging="0"/>
      </w:pPr>
      <w:rPr>
        <w:rFonts w:ascii="Symbol" w:hAnsi="Symbol" w:cs="Symbol" w:hint="default"/>
        <w:rFonts w:cs="Symbol"/>
      </w:rPr>
    </w:lvl>
    <w:lvl w:ilvl="4">
      <w:start w:val="1"/>
      <w:numFmt w:val="bullet"/>
      <w:lvlText w:val="o"/>
      <w:lvlJc w:val="left"/>
      <w:pPr>
        <w:ind w:left="0" w:hanging="0"/>
      </w:pPr>
      <w:rPr>
        <w:rFonts w:ascii="Courier New" w:hAnsi="Courier New" w:cs="Courier New" w:hint="default"/>
        <w:rFonts w:cs="Courier New"/>
      </w:rPr>
    </w:lvl>
    <w:lvl w:ilvl="5">
      <w:start w:val="1"/>
      <w:numFmt w:val="bullet"/>
      <w:lvlText w:val=""/>
      <w:lvlJc w:val="left"/>
      <w:pPr>
        <w:ind w:left="0" w:hanging="0"/>
      </w:pPr>
      <w:rPr>
        <w:rFonts w:ascii="Wingdings" w:hAnsi="Wingdings" w:cs="Wingdings" w:hint="default"/>
        <w:rFonts w:cs="Wingdings"/>
      </w:rPr>
    </w:lvl>
    <w:lvl w:ilvl="6">
      <w:start w:val="1"/>
      <w:numFmt w:val="bullet"/>
      <w:lvlText w:val=""/>
      <w:lvlJc w:val="left"/>
      <w:pPr>
        <w:ind w:left="0" w:hanging="0"/>
      </w:pPr>
      <w:rPr>
        <w:rFonts w:ascii="Symbol" w:hAnsi="Symbol" w:cs="Symbol" w:hint="default"/>
        <w:rFonts w:cs="Symbol"/>
      </w:rPr>
    </w:lvl>
    <w:lvl w:ilvl="7">
      <w:start w:val="1"/>
      <w:numFmt w:val="bullet"/>
      <w:lvlText w:val="o"/>
      <w:lvlJc w:val="left"/>
      <w:pPr>
        <w:ind w:left="0" w:hanging="0"/>
      </w:pPr>
      <w:rPr>
        <w:rFonts w:ascii="Courier New" w:hAnsi="Courier New" w:cs="Courier New" w:hint="default"/>
        <w:rFonts w:cs="Courier New"/>
      </w:rPr>
    </w:lvl>
    <w:lvl w:ilvl="8">
      <w:start w:val="1"/>
      <w:numFmt w:val="bullet"/>
      <w:lvlText w:val=""/>
      <w:lvlJc w:val="left"/>
      <w:pPr>
        <w:ind w:left="0" w:hanging="0"/>
      </w:pPr>
      <w:rPr>
        <w:rFonts w:ascii="Wingdings" w:hAnsi="Wingdings" w:cs="Wingdings" w:hint="default"/>
        <w:rFonts w:cs="Wingdings"/>
      </w:rPr>
    </w:lvl>
  </w:abstractNum>
  <w:abstractNum w:abstractNumId="2">
    <w:lvl w:ilvl="0">
      <w:start w:val="1"/>
      <w:numFmt w:val="lowerLetter"/>
      <w:lvlText w:val="%1)"/>
      <w:lvlJc w:val="left"/>
      <w:pPr>
        <w:ind w:left="0" w:hanging="0"/>
      </w:pPr>
    </w:lvl>
    <w:lvl w:ilvl="1">
      <w:start w:val="1"/>
      <w:numFmt w:val="lowerLetter"/>
      <w:lvlText w:val="%2."/>
      <w:lvlJc w:val="left"/>
      <w:pPr>
        <w:ind w:left="0" w:hanging="0"/>
      </w:pPr>
    </w:lvl>
    <w:lvl w:ilvl="2">
      <w:start w:val="1"/>
      <w:numFmt w:val="lowerRoman"/>
      <w:lvlText w:val="%3."/>
      <w:lvlJc w:val="right"/>
      <w:pPr>
        <w:ind w:left="0" w:hanging="0"/>
      </w:pPr>
    </w:lvl>
    <w:lvl w:ilvl="3">
      <w:start w:val="1"/>
      <w:numFmt w:val="decimal"/>
      <w:lvlText w:val="%4."/>
      <w:lvlJc w:val="left"/>
      <w:pPr>
        <w:ind w:left="0" w:hanging="0"/>
      </w:pPr>
    </w:lvl>
    <w:lvl w:ilvl="4">
      <w:start w:val="1"/>
      <w:numFmt w:val="lowerLetter"/>
      <w:lvlText w:val="%5."/>
      <w:lvlJc w:val="left"/>
      <w:pPr>
        <w:ind w:left="0" w:hanging="0"/>
      </w:pPr>
    </w:lvl>
    <w:lvl w:ilvl="5">
      <w:start w:val="1"/>
      <w:numFmt w:val="lowerRoman"/>
      <w:lvlText w:val="%6."/>
      <w:lvlJc w:val="right"/>
      <w:pPr>
        <w:ind w:left="0" w:hanging="0"/>
      </w:pPr>
    </w:lvl>
    <w:lvl w:ilvl="6">
      <w:start w:val="1"/>
      <w:numFmt w:val="decimal"/>
      <w:lvlText w:val="%7."/>
      <w:lvlJc w:val="left"/>
      <w:pPr>
        <w:ind w:left="0" w:hanging="0"/>
      </w:pPr>
    </w:lvl>
    <w:lvl w:ilvl="7">
      <w:start w:val="1"/>
      <w:numFmt w:val="lowerLetter"/>
      <w:lvlText w:val="%8."/>
      <w:lvlJc w:val="left"/>
      <w:pPr>
        <w:ind w:left="0" w:hanging="0"/>
      </w:pPr>
    </w:lvl>
    <w:lvl w:ilvl="8">
      <w:start w:val="1"/>
      <w:numFmt w:val="lowerRoman"/>
      <w:lvlText w:val="%9."/>
      <w:lvlJc w:val="right"/>
      <w:pPr>
        <w:ind w:left="0" w:hanging="0"/>
      </w:pPr>
    </w:lvl>
  </w:abstractNum>
  <w:abstractNum w:abstractNumId="3">
    <w:lvl w:ilvl="0">
      <w:start w:val="1"/>
      <w:numFmt w:val="lowerLetter"/>
      <w:lvlText w:val="%1)"/>
      <w:lvlJc w:val="left"/>
      <w:pPr>
        <w:ind w:left="0" w:hanging="0"/>
      </w:pPr>
    </w:lvl>
    <w:lvl w:ilvl="1">
      <w:start w:val="1"/>
      <w:numFmt w:val="lowerLetter"/>
      <w:lvlText w:val="%2."/>
      <w:lvlJc w:val="left"/>
      <w:pPr>
        <w:ind w:left="0" w:hanging="0"/>
      </w:pPr>
    </w:lvl>
    <w:lvl w:ilvl="2">
      <w:start w:val="1"/>
      <w:numFmt w:val="lowerRoman"/>
      <w:lvlText w:val="%3."/>
      <w:lvlJc w:val="right"/>
      <w:pPr>
        <w:ind w:left="0" w:hanging="0"/>
      </w:pPr>
    </w:lvl>
    <w:lvl w:ilvl="3">
      <w:start w:val="1"/>
      <w:numFmt w:val="decimal"/>
      <w:lvlText w:val="%4."/>
      <w:lvlJc w:val="left"/>
      <w:pPr>
        <w:ind w:left="0" w:hanging="0"/>
      </w:pPr>
    </w:lvl>
    <w:lvl w:ilvl="4">
      <w:start w:val="1"/>
      <w:numFmt w:val="lowerLetter"/>
      <w:lvlText w:val="%5."/>
      <w:lvlJc w:val="left"/>
      <w:pPr>
        <w:ind w:left="0" w:hanging="0"/>
      </w:pPr>
    </w:lvl>
    <w:lvl w:ilvl="5">
      <w:start w:val="1"/>
      <w:numFmt w:val="lowerRoman"/>
      <w:lvlText w:val="%6."/>
      <w:lvlJc w:val="right"/>
      <w:pPr>
        <w:ind w:left="0" w:hanging="0"/>
      </w:pPr>
    </w:lvl>
    <w:lvl w:ilvl="6">
      <w:start w:val="1"/>
      <w:numFmt w:val="decimal"/>
      <w:lvlText w:val="%7."/>
      <w:lvlJc w:val="left"/>
      <w:pPr>
        <w:ind w:left="0" w:hanging="0"/>
      </w:pPr>
    </w:lvl>
    <w:lvl w:ilvl="7">
      <w:start w:val="1"/>
      <w:numFmt w:val="lowerLetter"/>
      <w:lvlText w:val="%8."/>
      <w:lvlJc w:val="left"/>
      <w:pPr>
        <w:ind w:left="0" w:hanging="0"/>
      </w:pPr>
    </w:lvl>
    <w:lvl w:ilvl="8">
      <w:start w:val="1"/>
      <w:numFmt w:val="lowerRoman"/>
      <w:lvlText w:val="%9."/>
      <w:lvlJc w:val="right"/>
      <w:pPr>
        <w:ind w:left="0" w:hanging="0"/>
      </w:pPr>
    </w:lvl>
  </w:abstractNum>
  <w:abstractNum w:abstractNumI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4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cs-CZ"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overflowPunct w:val="false"/>
      <w:bidi w:val="0"/>
      <w:spacing w:lineRule="auto" w:line="252" w:before="0" w:after="160"/>
      <w:jc w:val="left"/>
      <w:textAlignment w:val="baseline"/>
    </w:pPr>
    <w:rPr>
      <w:rFonts w:ascii="Calibri" w:hAnsi="Calibri" w:eastAsia="Calibri" w:cs="Times New Roman"/>
      <w:color w:val="auto"/>
      <w:kern w:val="0"/>
      <w:sz w:val="22"/>
      <w:szCs w:val="22"/>
      <w:lang w:val="cs-CZ" w:eastAsia="en-US" w:bidi="ar-SA"/>
    </w:rPr>
  </w:style>
  <w:style w:type="paragraph" w:styleId="Heading2">
    <w:name w:val="Heading 2"/>
    <w:basedOn w:val="Normal"/>
    <w:next w:val="Normal"/>
    <w:qFormat/>
    <w:pPr>
      <w:keepNext w:val="true"/>
      <w:keepLines/>
      <w:suppressAutoHyphens w:val="false"/>
      <w:spacing w:lineRule="auto" w:line="259" w:before="40" w:after="0"/>
      <w:textAlignment w:val="auto"/>
      <w:outlineLvl w:val="1"/>
    </w:pPr>
    <w:rPr>
      <w:rFonts w:ascii="Cambria" w:hAnsi="Cambria"/>
      <w:color w:val="365F91"/>
      <w:sz w:val="26"/>
      <w:szCs w:val="26"/>
    </w:rPr>
  </w:style>
  <w:style w:type="character" w:styleId="DefaultParagraphFont" w:default="1">
    <w:name w:val="Default Paragraph Font"/>
    <w:uiPriority w:val="1"/>
    <w:semiHidden/>
    <w:unhideWhenUsed/>
    <w:qFormat/>
    <w:rPr/>
  </w:style>
  <w:style w:type="character" w:styleId="BezmezerChar" w:customStyle="1">
    <w:name w:val="Bez mezer Char"/>
    <w:basedOn w:val="DefaultParagraphFont"/>
    <w:qFormat/>
    <w:rPr>
      <w:rFonts w:eastAsia="Times New Roman"/>
      <w:lang w:eastAsia="cs-CZ"/>
    </w:rPr>
  </w:style>
  <w:style w:type="character" w:styleId="Outputtext" w:customStyle="1">
    <w:name w:val="outputtext"/>
    <w:basedOn w:val="DefaultParagraphFont"/>
    <w:qFormat/>
    <w:rPr/>
  </w:style>
  <w:style w:type="character" w:styleId="ZhlavChar" w:customStyle="1">
    <w:name w:val="Záhlaví Char"/>
    <w:basedOn w:val="DefaultParagraphFont"/>
    <w:qFormat/>
    <w:rPr/>
  </w:style>
  <w:style w:type="character" w:styleId="ZpatChar" w:customStyle="1">
    <w:name w:val="Zápatí Char"/>
    <w:basedOn w:val="DefaultParagraphFont"/>
    <w:qFormat/>
    <w:rPr/>
  </w:style>
  <w:style w:type="character" w:styleId="PlaceholderText">
    <w:name w:val="Placeholder Text"/>
    <w:basedOn w:val="DefaultParagraphFont"/>
    <w:qFormat/>
    <w:rPr>
      <w:color w:val="808080"/>
    </w:rPr>
  </w:style>
  <w:style w:type="character" w:styleId="TextbublinyChar" w:customStyle="1">
    <w:name w:val="Text bubliny Char"/>
    <w:basedOn w:val="DefaultParagraphFont"/>
    <w:qFormat/>
    <w:rPr>
      <w:rFonts w:ascii="Tahoma" w:hAnsi="Tahoma" w:cs="Tahoma"/>
      <w:sz w:val="16"/>
      <w:szCs w:val="16"/>
    </w:rPr>
  </w:style>
  <w:style w:type="character" w:styleId="Nadpis2Char" w:customStyle="1">
    <w:name w:val="Nadpis 2 Char"/>
    <w:basedOn w:val="DefaultParagraphFont"/>
    <w:qFormat/>
    <w:rPr>
      <w:rFonts w:ascii="Cambria" w:hAnsi="Cambria" w:eastAsia="Calibri" w:cs="Times New Roman"/>
      <w:color w:val="365F91"/>
      <w:sz w:val="26"/>
      <w:szCs w:val="26"/>
    </w:rPr>
  </w:style>
  <w:style w:type="character" w:styleId="InternetLink" w:customStyle="1">
    <w:name w:val="Internet Link"/>
    <w:basedOn w:val="DefaultParagraphFont"/>
    <w:rPr>
      <w:color w:val="0000FF"/>
      <w:u w:val="single"/>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style>
  <w:style w:type="character" w:styleId="ListLabel11" w:customStyle="1">
    <w:name w:val="ListLabel 11"/>
    <w:qFormat/>
    <w:rPr>
      <w:rFonts w:cs="Symbol"/>
    </w:rPr>
  </w:style>
  <w:style w:type="character" w:styleId="ListLabel12" w:customStyle="1">
    <w:name w:val="ListLabel 12"/>
    <w:qFormat/>
    <w:rPr>
      <w:rFonts w:cs="Courier New"/>
    </w:rPr>
  </w:style>
  <w:style w:type="character" w:styleId="ListLabel13" w:customStyle="1">
    <w:name w:val="ListLabel 13"/>
    <w:qFormat/>
    <w:rPr>
      <w:rFonts w:cs="Wingdings"/>
    </w:rPr>
  </w:style>
  <w:style w:type="character" w:styleId="ListLabel14" w:customStyle="1">
    <w:name w:val="ListLabel 14"/>
    <w:qFormat/>
    <w:rPr>
      <w:rFonts w:cs="Symbol"/>
    </w:rPr>
  </w:style>
  <w:style w:type="character" w:styleId="ListLabel15" w:customStyle="1">
    <w:name w:val="ListLabel 15"/>
    <w:qFormat/>
    <w:rPr>
      <w:rFonts w:cs="Courier New"/>
    </w:rPr>
  </w:style>
  <w:style w:type="character" w:styleId="ListLabel16" w:customStyle="1">
    <w:name w:val="ListLabel 16"/>
    <w:qFormat/>
    <w:rPr>
      <w:rFonts w:cs="Wingdings"/>
    </w:rPr>
  </w:style>
  <w:style w:type="character" w:styleId="ListLabel17" w:customStyle="1">
    <w:name w:val="ListLabel 17"/>
    <w:qFormat/>
    <w:rPr>
      <w:rFonts w:cs="Symbol"/>
    </w:rPr>
  </w:style>
  <w:style w:type="character" w:styleId="ListLabel18" w:customStyle="1">
    <w:name w:val="ListLabel 18"/>
    <w:qFormat/>
    <w:rPr>
      <w:rFonts w:cs="Courier New"/>
    </w:rPr>
  </w:style>
  <w:style w:type="character" w:styleId="ListLabel19" w:customStyle="1">
    <w:name w:val="ListLabel 19"/>
    <w:qFormat/>
    <w:rPr>
      <w:rFonts w:cs="Wingdings"/>
    </w:rPr>
  </w:style>
  <w:style w:type="character" w:styleId="ListLabel20" w:customStyle="1">
    <w:name w:val="ListLabel 20"/>
    <w:qFormat/>
    <w:rPr>
      <w:rFonts w:cs="Symbol"/>
    </w:rPr>
  </w:style>
  <w:style w:type="character" w:styleId="ListLabel21" w:customStyle="1">
    <w:name w:val="ListLabel 21"/>
    <w:qFormat/>
    <w:rPr>
      <w:rFonts w:cs="Courier New"/>
    </w:rPr>
  </w:style>
  <w:style w:type="character" w:styleId="ListLabel22" w:customStyle="1">
    <w:name w:val="ListLabel 22"/>
    <w:qFormat/>
    <w:rPr>
      <w:rFonts w:cs="Wingdings"/>
    </w:rPr>
  </w:style>
  <w:style w:type="character" w:styleId="ListLabel23" w:customStyle="1">
    <w:name w:val="ListLabel 23"/>
    <w:qFormat/>
    <w:rPr>
      <w:rFonts w:cs="Symbol"/>
    </w:rPr>
  </w:style>
  <w:style w:type="character" w:styleId="ListLabel24" w:customStyle="1">
    <w:name w:val="ListLabel 24"/>
    <w:qFormat/>
    <w:rPr>
      <w:rFonts w:cs="Courier New"/>
    </w:rPr>
  </w:style>
  <w:style w:type="character" w:styleId="ListLabel25" w:customStyle="1">
    <w:name w:val="ListLabel 25"/>
    <w:qFormat/>
    <w:rPr>
      <w:rFonts w:cs="Wingdings"/>
    </w:rPr>
  </w:style>
  <w:style w:type="character" w:styleId="ListLabel26" w:customStyle="1">
    <w:name w:val="ListLabel 26"/>
    <w:qFormat/>
    <w:rPr>
      <w:rFonts w:cs="Symbol"/>
    </w:rPr>
  </w:style>
  <w:style w:type="character" w:styleId="ListLabel27" w:customStyle="1">
    <w:name w:val="ListLabel 27"/>
    <w:qFormat/>
    <w:rPr>
      <w:rFonts w:cs="Courier New"/>
    </w:rPr>
  </w:style>
  <w:style w:type="character" w:styleId="ListLabel28" w:customStyle="1">
    <w:name w:val="ListLabel 28"/>
    <w:qFormat/>
    <w:rPr>
      <w:rFonts w:cs="Wingdings"/>
    </w:rPr>
  </w:style>
  <w:style w:type="character" w:styleId="ListLabel29" w:customStyle="1">
    <w:name w:val="ListLabel 29"/>
    <w:qFormat/>
    <w:rPr>
      <w:rFonts w:cs="Symbol"/>
    </w:rPr>
  </w:style>
  <w:style w:type="character" w:styleId="ListLabel30" w:customStyle="1">
    <w:name w:val="ListLabel 30"/>
    <w:qFormat/>
    <w:rPr>
      <w:rFonts w:cs="Courier New"/>
    </w:rPr>
  </w:style>
  <w:style w:type="character" w:styleId="ListLabel31" w:customStyle="1">
    <w:name w:val="ListLabel 31"/>
    <w:qFormat/>
    <w:rPr>
      <w:rFonts w:cs="Wingdings"/>
    </w:rPr>
  </w:style>
  <w:style w:type="character" w:styleId="ListLabel32" w:customStyle="1">
    <w:name w:val="ListLabel 32"/>
    <w:qFormat/>
    <w:rPr>
      <w:rFonts w:cs="Symbol"/>
    </w:rPr>
  </w:style>
  <w:style w:type="character" w:styleId="ListLabel33" w:customStyle="1">
    <w:name w:val="ListLabel 33"/>
    <w:qFormat/>
    <w:rPr>
      <w:rFonts w:cs="Courier New"/>
    </w:rPr>
  </w:style>
  <w:style w:type="character" w:styleId="ListLabel34" w:customStyle="1">
    <w:name w:val="ListLabel 34"/>
    <w:qFormat/>
    <w:rPr>
      <w:rFonts w:cs="Wingdings"/>
    </w:rPr>
  </w:style>
  <w:style w:type="character" w:styleId="ListLabel35" w:customStyle="1">
    <w:name w:val="ListLabel 35"/>
    <w:qFormat/>
    <w:rPr>
      <w:rFonts w:cs="Symbol"/>
    </w:rPr>
  </w:style>
  <w:style w:type="character" w:styleId="ListLabel36" w:customStyle="1">
    <w:name w:val="ListLabel 36"/>
    <w:qFormat/>
    <w:rPr>
      <w:rFonts w:cs="Courier New"/>
    </w:rPr>
  </w:style>
  <w:style w:type="character" w:styleId="ListLabel37" w:customStyle="1">
    <w:name w:val="ListLabel 37"/>
    <w:qFormat/>
    <w:rPr>
      <w:rFonts w:cs="Wingdings"/>
    </w:rPr>
  </w:style>
  <w:style w:type="character" w:styleId="Annotationreference">
    <w:name w:val="annotation reference"/>
    <w:basedOn w:val="DefaultParagraphFont"/>
    <w:uiPriority w:val="99"/>
    <w:semiHidden/>
    <w:unhideWhenUsed/>
    <w:qFormat/>
    <w:rsid w:val="00a326e7"/>
    <w:rPr>
      <w:sz w:val="16"/>
      <w:szCs w:val="16"/>
    </w:rPr>
  </w:style>
  <w:style w:type="character" w:styleId="TextkomenteChar" w:customStyle="1">
    <w:name w:val="Text komentáře Char"/>
    <w:basedOn w:val="DefaultParagraphFont"/>
    <w:link w:val="Textkomente"/>
    <w:uiPriority w:val="99"/>
    <w:semiHidden/>
    <w:qFormat/>
    <w:rsid w:val="00a326e7"/>
    <w:rPr>
      <w:szCs w:val="20"/>
    </w:rPr>
  </w:style>
  <w:style w:type="character" w:styleId="PedmtkomenteChar" w:customStyle="1">
    <w:name w:val="Předmět komentáře Char"/>
    <w:basedOn w:val="TextkomenteChar"/>
    <w:link w:val="Pedmtkomente"/>
    <w:uiPriority w:val="99"/>
    <w:semiHidden/>
    <w:qFormat/>
    <w:rsid w:val="00a326e7"/>
    <w:rPr>
      <w:b/>
      <w:bCs/>
      <w:szCs w:val="20"/>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cs="Symbol"/>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cs="Symbol"/>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cs="Symbol"/>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cs="Symbol"/>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cs="Symbol"/>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cs="Symbol"/>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cs="Symbol"/>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cs="Symbol"/>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cs="Symbol"/>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cs="Symbol"/>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rFonts w:cs="Symbol"/>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Symbol"/>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cs="Symbol"/>
    </w:rPr>
  </w:style>
  <w:style w:type="character" w:styleId="ListLabel90">
    <w:name w:val="ListLabel 90"/>
    <w:qFormat/>
    <w:rPr>
      <w:rFonts w:cs="Courier New"/>
    </w:rPr>
  </w:style>
  <w:style w:type="character" w:styleId="ListLabel91">
    <w:name w:val="ListLabel 91"/>
    <w:qFormat/>
    <w:rPr>
      <w:rFonts w:cs="Wingdings"/>
    </w:rPr>
  </w:style>
  <w:style w:type="paragraph" w:styleId="Heading" w:customStyle="1">
    <w:name w:val="Heading"/>
    <w:basedOn w:val="Normal"/>
    <w:next w:val="TextBody"/>
    <w:qFormat/>
    <w:pPr>
      <w:keepNext w:val="true"/>
      <w:spacing w:before="240" w:after="120"/>
    </w:pPr>
    <w:rPr>
      <w:rFonts w:ascii="Liberation Sans" w:hAnsi="Liberation Sans" w:eastAsia="Droid Sans Fallback"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customStyle="1">
    <w:name w:val="Index"/>
    <w:basedOn w:val="Normal"/>
    <w:qFormat/>
    <w:pPr>
      <w:suppressLineNumbers/>
    </w:pPr>
    <w:rPr>
      <w:rFonts w:cs="Noto Sans Devanagari"/>
    </w:rPr>
  </w:style>
  <w:style w:type="paragraph" w:styleId="Caption1">
    <w:name w:val="caption"/>
    <w:basedOn w:val="Normal"/>
    <w:next w:val="Normal"/>
    <w:qFormat/>
    <w:pPr>
      <w:spacing w:lineRule="auto" w:line="240" w:before="0" w:after="200"/>
    </w:pPr>
    <w:rPr>
      <w:i/>
      <w:iCs/>
      <w:color w:val="44546A"/>
      <w:sz w:val="18"/>
      <w:szCs w:val="18"/>
    </w:rPr>
  </w:style>
  <w:style w:type="paragraph" w:styleId="Standard" w:customStyle="1">
    <w:name w:val="Standard"/>
    <w:qFormat/>
    <w:pPr>
      <w:widowControl/>
      <w:overflowPunct w:val="false"/>
      <w:bidi w:val="0"/>
      <w:jc w:val="left"/>
    </w:pPr>
    <w:rPr>
      <w:rFonts w:ascii="Calibri" w:hAnsi="Calibri" w:eastAsia="Calibri" w:cs="Times New Roman"/>
      <w:color w:val="auto"/>
      <w:kern w:val="0"/>
      <w:sz w:val="22"/>
      <w:szCs w:val="22"/>
      <w:lang w:val="cs-CZ" w:eastAsia="en-US" w:bidi="ar-SA"/>
    </w:rPr>
  </w:style>
  <w:style w:type="paragraph" w:styleId="ListParagraph">
    <w:name w:val="List Paragraph"/>
    <w:basedOn w:val="Normal"/>
    <w:qFormat/>
    <w:pPr>
      <w:ind w:left="720" w:hanging="0"/>
    </w:pPr>
    <w:rPr/>
  </w:style>
  <w:style w:type="paragraph" w:styleId="NoSpacing">
    <w:name w:val="No Spacing"/>
    <w:qFormat/>
    <w:pPr>
      <w:widowControl/>
      <w:suppressAutoHyphens w:val="true"/>
      <w:overflowPunct w:val="false"/>
      <w:bidi w:val="0"/>
      <w:jc w:val="left"/>
    </w:pPr>
    <w:rPr>
      <w:rFonts w:ascii="Calibri" w:hAnsi="Calibri" w:eastAsia="Times New Roman" w:cs="Times New Roman"/>
      <w:color w:val="auto"/>
      <w:kern w:val="0"/>
      <w:sz w:val="22"/>
      <w:szCs w:val="22"/>
      <w:lang w:val="cs-CZ" w:eastAsia="cs-CZ" w:bidi="ar-SA"/>
    </w:rPr>
  </w:style>
  <w:style w:type="paragraph" w:styleId="Header">
    <w:name w:val="Header"/>
    <w:basedOn w:val="Normal"/>
    <w:pPr>
      <w:tabs>
        <w:tab w:val="clear" w:pos="708"/>
        <w:tab w:val="center" w:pos="4536" w:leader="none"/>
        <w:tab w:val="right" w:pos="9072" w:leader="none"/>
      </w:tabs>
      <w:spacing w:lineRule="auto" w:line="240" w:before="0" w:after="0"/>
    </w:pPr>
    <w:rPr/>
  </w:style>
  <w:style w:type="paragraph" w:styleId="Footer">
    <w:name w:val="Footer"/>
    <w:basedOn w:val="Normal"/>
    <w:pPr>
      <w:tabs>
        <w:tab w:val="clear" w:pos="708"/>
        <w:tab w:val="center" w:pos="4536" w:leader="none"/>
        <w:tab w:val="right" w:pos="9072" w:leader="none"/>
      </w:tabs>
      <w:spacing w:lineRule="auto" w:line="240" w:before="0" w:after="0"/>
    </w:pPr>
    <w:rPr/>
  </w:style>
  <w:style w:type="paragraph" w:styleId="TableContents" w:customStyle="1">
    <w:name w:val="Table Contents"/>
    <w:basedOn w:val="Standard"/>
    <w:qFormat/>
    <w:pPr>
      <w:suppressLineNumbers/>
    </w:pPr>
    <w:rPr/>
  </w:style>
  <w:style w:type="paragraph" w:styleId="TableHeading" w:customStyle="1">
    <w:name w:val="Table Heading"/>
    <w:basedOn w:val="TableContents"/>
    <w:qFormat/>
    <w:pPr>
      <w:jc w:val="center"/>
    </w:pPr>
    <w:rPr>
      <w:b/>
      <w:bCs/>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Annotationtext">
    <w:name w:val="annotation text"/>
    <w:basedOn w:val="Normal"/>
    <w:link w:val="TextkomenteChar"/>
    <w:uiPriority w:val="99"/>
    <w:semiHidden/>
    <w:unhideWhenUsed/>
    <w:qFormat/>
    <w:rsid w:val="00a326e7"/>
    <w:pPr>
      <w:spacing w:lineRule="auto" w:line="240"/>
    </w:pPr>
    <w:rPr>
      <w:sz w:val="20"/>
      <w:szCs w:val="20"/>
    </w:rPr>
  </w:style>
  <w:style w:type="paragraph" w:styleId="Annotationsubject">
    <w:name w:val="annotation subject"/>
    <w:basedOn w:val="Annotationtext"/>
    <w:next w:val="Annotationtext"/>
    <w:link w:val="PedmtkomenteChar"/>
    <w:uiPriority w:val="99"/>
    <w:semiHidden/>
    <w:unhideWhenUsed/>
    <w:qFormat/>
    <w:rsid w:val="00a326e7"/>
    <w:pPr/>
    <w:rPr>
      <w:b/>
      <w:bCs/>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Application>LibreOffice/6.1.5.2$Linux_X86_64 LibreOffice_project/10$Build-2</Application>
  <Pages>9</Pages>
  <Words>1474</Words>
  <Characters>9113</Characters>
  <CharactersWithSpaces>10473</CharactersWithSpaces>
  <Paragraphs>116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2019-02-19T19:08:00Z</dcterms:created>
  <dc:creator>lit40</dc:creator>
  <dc:description/>
  <dc:language>cs-CZ</dc:language>
  <cp:lastModifiedBy/>
  <cp:lastPrinted>2017-03-02T08:30:00Z</cp:lastPrinted>
  <dcterms:modified xsi:type="dcterms:W3CDTF">2019-02-25T16:38:13Z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