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9E6597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SMAD</w:t>
      </w:r>
    </w:p>
    <w:p w:rsidR="0046288A" w:rsidRDefault="009E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Cvičení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08484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/201</w:t>
      </w:r>
      <w:r w:rsidR="00084848">
        <w:rPr>
          <w:b/>
          <w:sz w:val="32"/>
          <w:szCs w:val="32"/>
        </w:rPr>
        <w:t>7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46288A" w:rsidRDefault="007324C2">
      <w:pPr>
        <w:jc w:val="both"/>
      </w:pPr>
      <w:r>
        <w:t xml:space="preserve">Pro dlouhodobý test tužkových </w:t>
      </w:r>
      <w:proofErr w:type="spellStart"/>
      <w:r>
        <w:t>NiMH</w:t>
      </w:r>
      <w:proofErr w:type="spellEnd"/>
      <w:r>
        <w:t xml:space="preserve"> akumulátorů od čtyř různých výrobců (A, B, C, D) bylo od každého výrobce pořízeno </w:t>
      </w:r>
      <w:r w:rsidR="009E6597">
        <w:t>100</w:t>
      </w:r>
      <w:r>
        <w:t xml:space="preserve"> akumulátorů. Všechny akumulátory měly deklarovanou kapacitu 2000 </w:t>
      </w:r>
      <w:proofErr w:type="spellStart"/>
      <w:r>
        <w:t>mAh</w:t>
      </w:r>
      <w:proofErr w:type="spellEnd"/>
      <w:r>
        <w:t>. Kapacita každého akumulátoru byla změřena nejprve po 5 nabíjecích cyklech a následně po 100 nabíjecích cyklech.</w:t>
      </w:r>
    </w:p>
    <w:p w:rsidR="0046288A" w:rsidRDefault="007324C2">
      <w:pPr>
        <w:jc w:val="both"/>
      </w:pPr>
      <w:r>
        <w:t xml:space="preserve">V souboru </w:t>
      </w:r>
      <w:r w:rsidR="009E6597" w:rsidRPr="009E6597">
        <w:rPr>
          <w:color w:val="4F81BD" w:themeColor="accent1"/>
        </w:rPr>
        <w:t>akumulátory.xlsx</w:t>
      </w:r>
      <w:r w:rsidRPr="009E6597">
        <w:rPr>
          <w:color w:val="4F81BD" w:themeColor="accent1"/>
        </w:rPr>
        <w:t xml:space="preserve"> </w:t>
      </w:r>
      <w:r>
        <w:t>jsou pro každý z akumulátorů uvedeny následující údaje: číslo akumulátoru, výrobce (A, B, C, D), změřená kapacita po 5 nabíjecích cyklech a změřená kapacita po 100 nabíjecích cyklech.</w:t>
      </w: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Všechny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9E6597" w:rsidRDefault="009E6597">
      <w:pPr>
        <w:rPr>
          <w:b/>
        </w:rPr>
      </w:pPr>
    </w:p>
    <w:p w:rsidR="009E6597" w:rsidRDefault="009E6597">
      <w:pPr>
        <w:rPr>
          <w:b/>
        </w:rPr>
      </w:pPr>
    </w:p>
    <w:p w:rsidR="009E6597" w:rsidRDefault="009E6597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46288A" w:rsidRDefault="007324C2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Cs/>
        </w:rPr>
        <w:t>Pomocí nástrojů explorační analýzy analyzujte kapacity akumulátorů výrobce A po 5 a po 100 nabíjecích cyklech. Data vhodně graficky prezentujte (krabicový graf</w:t>
      </w:r>
      <w:r w:rsidR="006742BD">
        <w:rPr>
          <w:bCs/>
        </w:rPr>
        <w:t>, histogram, q-q graf</w:t>
      </w:r>
      <w:r>
        <w:rPr>
          <w:bCs/>
        </w:rPr>
        <w:t>) a doplňte následující tabulky a text.</w:t>
      </w:r>
    </w:p>
    <w:p w:rsidR="0046288A" w:rsidRDefault="0046288A">
      <w:pPr>
        <w:pStyle w:val="Odstavecseseznamem"/>
        <w:ind w:left="357"/>
      </w:pP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46288A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Kapacita akumulátorů, výrobce A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46288A">
        <w:trPr>
          <w:trHeight w:val="967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88A" w:rsidRDefault="00732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 5 cyklech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88A" w:rsidRDefault="00732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 100 cyklech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88A" w:rsidRDefault="00732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 5 cyklech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88A" w:rsidRDefault="00732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 100 cyklech</w:t>
            </w:r>
          </w:p>
        </w:tc>
      </w:tr>
      <w:tr w:rsidR="00084848" w:rsidTr="00084848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4848" w:rsidRPr="00084848" w:rsidRDefault="00084848" w:rsidP="00084848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084848"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848" w:rsidRDefault="0008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848" w:rsidRDefault="0008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848" w:rsidRDefault="0008484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848" w:rsidRDefault="0008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848" w:rsidRDefault="0008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46288A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88A" w:rsidRDefault="007324C2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E46" w:rsidRDefault="00222E46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  <w:tr w:rsidR="0046288A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7324C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88A" w:rsidRDefault="0046288A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46288A" w:rsidRDefault="0046288A"/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t>Analýza kapacity akumulátorů výrobce A po 5 nabíjecích cyklech</w:t>
      </w:r>
    </w:p>
    <w:p w:rsidR="0046288A" w:rsidRDefault="007324C2">
      <w:pPr>
        <w:jc w:val="both"/>
      </w:pPr>
      <w:r>
        <w:t xml:space="preserve">Během testu byla měřena kapacita ...... kusů akumulátorů výrobce A. Naměřená kapacita po 5 nabíjecích cyklech se pohybovala v rozmezí …….. až ………. </w:t>
      </w:r>
      <w:proofErr w:type="spellStart"/>
      <w:proofErr w:type="gramStart"/>
      <w:r>
        <w:t>mAh</w:t>
      </w:r>
      <w:proofErr w:type="spellEnd"/>
      <w:proofErr w:type="gramEnd"/>
      <w:r>
        <w:t xml:space="preserve">. </w:t>
      </w:r>
      <w:r w:rsidRPr="00084848">
        <w:rPr>
          <w:u w:val="dotted"/>
        </w:rPr>
        <w:t>Kapacity  ............................................ 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</w:t>
      </w:r>
      <w:r w:rsidR="00084848">
        <w:t>Dále uvedené výsledky tedy pocházejí z analýzy kapacit ……… kusů akumulátorů. Jejich p</w:t>
      </w:r>
      <w:r>
        <w:t xml:space="preserve">růměrná kapacita byla …………….. </w:t>
      </w:r>
      <w:proofErr w:type="spellStart"/>
      <w:r>
        <w:t>mAh</w:t>
      </w:r>
      <w:proofErr w:type="spellEnd"/>
      <w:r>
        <w:t xml:space="preserve">, směrodatná odchylka pak ………………….. </w:t>
      </w:r>
      <w:proofErr w:type="spellStart"/>
      <w:r>
        <w:t>mAh</w:t>
      </w:r>
      <w:proofErr w:type="spellEnd"/>
      <w:r>
        <w:t xml:space="preserve">. U poloviny testovaných akumulátorů kapacita nepřekročila …………….. </w:t>
      </w:r>
      <w:proofErr w:type="spellStart"/>
      <w:r>
        <w:t>mAh</w:t>
      </w:r>
      <w:proofErr w:type="spellEnd"/>
      <w:r>
        <w:t xml:space="preserve">. V polovině měření se kapacita pohybovala v rozmezí  ………… až ............ </w:t>
      </w:r>
      <w:proofErr w:type="spellStart"/>
      <w:r>
        <w:t>mAh</w:t>
      </w:r>
      <w:proofErr w:type="spellEnd"/>
      <w:r>
        <w:t>. Vzhledem k hodnotě variačního koeficientu (……</w:t>
      </w:r>
      <w:proofErr w:type="gramStart"/>
      <w:r>
        <w:t xml:space="preserve">….%) </w:t>
      </w:r>
      <w:r>
        <w:rPr>
          <w:u w:val="dotted"/>
        </w:rPr>
        <w:t>lze</w:t>
      </w:r>
      <w:proofErr w:type="gramEnd"/>
      <w:r>
        <w:rPr>
          <w:u w:val="dotted"/>
        </w:rPr>
        <w:t xml:space="preserve"> / nelze</w:t>
      </w:r>
      <w:r>
        <w:t xml:space="preserve"> analyzovaný soubor považovat za homogenní.</w:t>
      </w: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t>Analýza kapacity akumulátorů výrobce A po 100 nabíjecích cyklech</w:t>
      </w:r>
    </w:p>
    <w:p w:rsidR="0046288A" w:rsidRDefault="00084848">
      <w:pPr>
        <w:jc w:val="both"/>
        <w:rPr>
          <w:b/>
        </w:rPr>
      </w:pPr>
      <w:r>
        <w:t xml:space="preserve">Během testu byla měřena kapacita ...... kusů akumulátorů výrobce A. Naměřená kapacita po 100 nabíjecích cyklech se pohybovala v rozmezí …….. až ………. </w:t>
      </w:r>
      <w:proofErr w:type="spellStart"/>
      <w:proofErr w:type="gramStart"/>
      <w:r>
        <w:t>mAh</w:t>
      </w:r>
      <w:proofErr w:type="spellEnd"/>
      <w:proofErr w:type="gramEnd"/>
      <w:r>
        <w:t xml:space="preserve">. </w:t>
      </w:r>
      <w:r w:rsidRPr="00084848">
        <w:rPr>
          <w:u w:val="dotted"/>
        </w:rPr>
        <w:t>Kapacity  ............................................ 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kapacit ……… kusů akumulátorů. Jejich průměrná kapacita byla …………….. </w:t>
      </w:r>
      <w:proofErr w:type="spellStart"/>
      <w:r>
        <w:t>mAh</w:t>
      </w:r>
      <w:proofErr w:type="spellEnd"/>
      <w:r>
        <w:t xml:space="preserve">, směrodatná odchylka pak ………………….. </w:t>
      </w:r>
      <w:proofErr w:type="spellStart"/>
      <w:r>
        <w:t>mAh</w:t>
      </w:r>
      <w:proofErr w:type="spellEnd"/>
      <w:r>
        <w:t xml:space="preserve">. U poloviny testovaných akumulátorů kapacita nepřekročila …………….. </w:t>
      </w:r>
      <w:proofErr w:type="spellStart"/>
      <w:r>
        <w:t>mAh</w:t>
      </w:r>
      <w:proofErr w:type="spellEnd"/>
      <w:r>
        <w:t xml:space="preserve">. V polovině měření se kapacita pohybovala v rozmezí  ………… až ............ </w:t>
      </w:r>
      <w:proofErr w:type="spellStart"/>
      <w:r>
        <w:t>mAh</w:t>
      </w:r>
      <w:proofErr w:type="spellEnd"/>
      <w:r>
        <w:t>. Vzhledem k hodnotě variačního koeficientu (……</w:t>
      </w:r>
      <w:proofErr w:type="gramStart"/>
      <w:r>
        <w:t xml:space="preserve">….%) </w:t>
      </w:r>
      <w:r>
        <w:rPr>
          <w:u w:val="dotted"/>
        </w:rPr>
        <w:t>lze</w:t>
      </w:r>
      <w:proofErr w:type="gramEnd"/>
      <w:r>
        <w:rPr>
          <w:u w:val="dotted"/>
        </w:rPr>
        <w:t xml:space="preserve"> / nelze</w:t>
      </w:r>
      <w:r>
        <w:t xml:space="preserve"> analyzovaný soubor považovat za homogenní.</w:t>
      </w:r>
    </w:p>
    <w:p w:rsidR="00084848" w:rsidRDefault="00084848">
      <w:pPr>
        <w:jc w:val="both"/>
        <w:rPr>
          <w:b/>
        </w:rPr>
      </w:pPr>
    </w:p>
    <w:p w:rsidR="0046288A" w:rsidRDefault="007324C2">
      <w:pPr>
        <w:jc w:val="both"/>
        <w:rPr>
          <w:b/>
        </w:rPr>
      </w:pPr>
      <w:r>
        <w:rPr>
          <w:b/>
        </w:rPr>
        <w:t>Ověření normality kapacity akumulátorů výrobce A po 5 nabíjecích cyklech na základě explorační analýzy</w:t>
      </w:r>
    </w:p>
    <w:p w:rsidR="0046288A" w:rsidRDefault="007324C2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kapacita akumulátorů výrobce A po 5 nabíjecích cyklech 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</w:t>
      </w:r>
      <w:r>
        <w:rPr>
          <w:u w:val="dotted"/>
        </w:rPr>
        <w:t>95 % / více než 75 %</w:t>
      </w:r>
      <w:r>
        <w:t xml:space="preserve"> akumulátorů bude mít kapacitu v rozmezí ……………. </w:t>
      </w:r>
      <w:proofErr w:type="gramStart"/>
      <w:r>
        <w:t>až</w:t>
      </w:r>
      <w:proofErr w:type="gramEnd"/>
      <w:r>
        <w:t xml:space="preserve"> ……………..……… </w:t>
      </w:r>
      <w:proofErr w:type="spellStart"/>
      <w:r>
        <w:t>mAh</w:t>
      </w:r>
      <w:proofErr w:type="spellEnd"/>
      <w:r>
        <w:t>.</w:t>
      </w:r>
    </w:p>
    <w:p w:rsidR="0046288A" w:rsidRDefault="0046288A">
      <w:pPr>
        <w:jc w:val="both"/>
      </w:pPr>
    </w:p>
    <w:p w:rsidR="0046288A" w:rsidRDefault="007324C2">
      <w:pPr>
        <w:jc w:val="both"/>
        <w:rPr>
          <w:b/>
        </w:rPr>
      </w:pPr>
      <w:r>
        <w:rPr>
          <w:b/>
        </w:rPr>
        <w:t>Ověření normality kapacity akumulátorů výrobce A po 100 nabíjecích cyklech na základě explorační analýzy</w:t>
      </w:r>
    </w:p>
    <w:p w:rsidR="0046288A" w:rsidRDefault="007324C2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kapacita akumulátorů výrobce A po 100 nabíjecích cyklech 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</w:t>
      </w:r>
      <w:r>
        <w:rPr>
          <w:u w:val="dotted"/>
        </w:rPr>
        <w:t>95 % / více než 75 %</w:t>
      </w:r>
      <w:r>
        <w:t xml:space="preserve"> akumulátorů bude mít kapacitu v rozmezí ………….……………. </w:t>
      </w:r>
      <w:proofErr w:type="gramStart"/>
      <w:r>
        <w:t>až</w:t>
      </w:r>
      <w:proofErr w:type="gramEnd"/>
      <w:r>
        <w:t xml:space="preserve"> ……………..……… </w:t>
      </w:r>
      <w:proofErr w:type="spellStart"/>
      <w:r>
        <w:t>mAh</w:t>
      </w:r>
      <w:proofErr w:type="spellEnd"/>
      <w:r>
        <w:t>.</w:t>
      </w:r>
    </w:p>
    <w:p w:rsidR="0046288A" w:rsidRDefault="007324C2">
      <w:pPr>
        <w:pageBreakBefore/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 xml:space="preserve">Porovnejte </w:t>
      </w:r>
      <w:r w:rsidR="00EE6990">
        <w:t xml:space="preserve">poklesy </w:t>
      </w:r>
      <w:r>
        <w:t>kapacit akumulátorů výrobc</w:t>
      </w:r>
      <w:r w:rsidR="00EE6990">
        <w:t>ů</w:t>
      </w:r>
      <w:r>
        <w:t xml:space="preserve"> A</w:t>
      </w:r>
      <w:r w:rsidR="00EE6990">
        <w:t xml:space="preserve"> </w:t>
      </w:r>
      <w:proofErr w:type="spellStart"/>
      <w:r w:rsidR="00EE6990">
        <w:t>a</w:t>
      </w:r>
      <w:proofErr w:type="spellEnd"/>
      <w:r w:rsidR="00EE6990">
        <w:t xml:space="preserve"> B</w:t>
      </w:r>
      <w:r>
        <w:t xml:space="preserve"> po 100 nabíjecích cyklech.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1D463F" w:rsidRDefault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Graficky prezentujte </w:t>
      </w:r>
      <w:r w:rsidR="00EE6990">
        <w:t xml:space="preserve">srovnání </w:t>
      </w:r>
      <w:r w:rsidR="00D76E67">
        <w:t>pokles</w:t>
      </w:r>
      <w:r w:rsidR="00EE6990">
        <w:t>ů</w:t>
      </w:r>
      <w:r w:rsidR="00D76E67">
        <w:t xml:space="preserve"> kapacit</w:t>
      </w:r>
      <w:r>
        <w:t xml:space="preserve"> akumulátorů výrobc</w:t>
      </w:r>
      <w:r w:rsidR="00EE6990">
        <w:t>ů</w:t>
      </w:r>
      <w:r>
        <w:t xml:space="preserve"> A</w:t>
      </w:r>
      <w:r w:rsidR="00EE6990">
        <w:t xml:space="preserve"> </w:t>
      </w:r>
      <w:proofErr w:type="spellStart"/>
      <w:r w:rsidR="00EE6990">
        <w:t>a</w:t>
      </w:r>
      <w:proofErr w:type="spellEnd"/>
      <w:r w:rsidR="00EE6990">
        <w:t xml:space="preserve"> B</w:t>
      </w:r>
      <w:r>
        <w:t xml:space="preserve"> po 100 nabíjecích cyklech</w:t>
      </w:r>
      <w:r w:rsidR="006742BD">
        <w:t xml:space="preserve"> (vícenásobný krabicový graf, histogramy, q-q grafy)</w:t>
      </w:r>
      <w:r>
        <w:t>.</w:t>
      </w: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46288A" w:rsidRDefault="007324C2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EE6990">
        <w:t xml:space="preserve">poklesu </w:t>
      </w:r>
      <w:r>
        <w:t>kapacit</w:t>
      </w:r>
      <w:r w:rsidR="00EE6990">
        <w:t xml:space="preserve"> po 100 nabíjecích cyklech</w:t>
      </w:r>
      <w:r>
        <w:t xml:space="preserve"> </w:t>
      </w:r>
      <w:r w:rsidR="00EE6990">
        <w:t xml:space="preserve"> pro </w:t>
      </w:r>
      <w:r>
        <w:t>akumulátor</w:t>
      </w:r>
      <w:r w:rsidR="00EE6990">
        <w:t>y</w:t>
      </w:r>
      <w:r>
        <w:t xml:space="preserve"> výrobc</w:t>
      </w:r>
      <w:r w:rsidR="00EE6990">
        <w:t>ů</w:t>
      </w:r>
      <w:r>
        <w:t xml:space="preserve"> A</w:t>
      </w:r>
      <w:r w:rsidR="00EE6990">
        <w:t xml:space="preserve"> i B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1D463F" w:rsidRDefault="001D463F">
      <w:pPr>
        <w:jc w:val="both"/>
      </w:pPr>
    </w:p>
    <w:p w:rsidR="001D463F" w:rsidRDefault="001D463F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1D463F" w:rsidRDefault="001D463F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lastRenderedPageBreak/>
        <w:t xml:space="preserve">Na hladině významnosti 5 </w:t>
      </w:r>
      <w:r>
        <w:rPr>
          <w:lang w:val="en-US"/>
        </w:rPr>
        <w:t>%</w:t>
      </w:r>
      <w:r>
        <w:t xml:space="preserve"> rozhodněte, zda </w:t>
      </w:r>
      <w:r w:rsidR="00EE6990">
        <w:t xml:space="preserve">jsou poklesy kapacit akumulátorů výrobců A </w:t>
      </w:r>
      <w:proofErr w:type="spellStart"/>
      <w:r w:rsidR="00EE6990">
        <w:t>a</w:t>
      </w:r>
      <w:proofErr w:type="spellEnd"/>
      <w:r w:rsidR="00EE6990">
        <w:t xml:space="preserve"> B statisticky významné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2B4EC3" w:rsidRDefault="002B4EC3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Určete </w:t>
      </w:r>
      <w:r w:rsidR="00BA3895">
        <w:t xml:space="preserve">bodový a </w:t>
      </w:r>
      <w:r>
        <w:t xml:space="preserve">95% intervalový </w:t>
      </w:r>
      <w:r w:rsidR="005417D9">
        <w:t xml:space="preserve">odhad rozdílu středních hodnot </w:t>
      </w:r>
      <w:r w:rsidR="00EE6990">
        <w:t>poklesů</w:t>
      </w:r>
      <w:r w:rsidR="005417D9">
        <w:t xml:space="preserve"> kapacit akumulátorů (po 100 cyklech) výrobců A </w:t>
      </w:r>
      <w:proofErr w:type="spellStart"/>
      <w:r w:rsidR="005417D9">
        <w:t>a</w:t>
      </w:r>
      <w:proofErr w:type="spellEnd"/>
      <w:r w:rsidR="005417D9">
        <w:t xml:space="preserve"> B.</w:t>
      </w: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Na hladině významnosti 5% rozhodněte, zda je rozdíl středních hodnot </w:t>
      </w:r>
      <w:r w:rsidR="00EE6990">
        <w:t>poklesů</w:t>
      </w:r>
      <w:r>
        <w:t xml:space="preserve"> kapacit akumulátorů (po 100 cyklech) výrobců A </w:t>
      </w:r>
      <w:proofErr w:type="spellStart"/>
      <w:r>
        <w:t>a</w:t>
      </w:r>
      <w:proofErr w:type="spellEnd"/>
      <w:r>
        <w:t xml:space="preserve"> B statisticky významný.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46288A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kapacity akumulátorů po 100 nabíjecích cyklech liší v závislosti na tom, od kterého výrobce pocházejí. Posouzení proveďte nejprve na základě explorační analýzy a následně pomocí vhodného statistického testu včetně ověření potřebných předpokladů. V případě, že se kapacity statisticky významně liší, určete, čí akumulátory se odlišují od ostatních.</w:t>
      </w: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</w:t>
      </w:r>
      <w:r w:rsidR="00BA3895">
        <w:t>(vícenásobný krabicový graf, histogramy, q-q grafy)</w:t>
      </w:r>
      <w:r>
        <w:t>.</w:t>
      </w: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normalitu kapacit akumulátorů po 100 nabíjecích cyklech všech čtyř výrobců (empiricky i exaktně).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kapacit akumulátorů po 100 nabíjecích cyklech všech čtyř výrobců (empiricky i exaktně).</w:t>
      </w: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</w:t>
      </w:r>
      <w:r w:rsidR="00BA3895">
        <w:t xml:space="preserve">bodové a </w:t>
      </w:r>
      <w:r>
        <w:t>95% intervalové odhady střední hodnoty (resp. mediánu) kapacit akumulátorů po 100 nabíjecích cyklech pro všechny srovnávané výrobce. (Nezapomeňte na ověření předpokladů pro použití příslušných intervalových odhadů.)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Čistým testem významnosti ověřte, zda je pozorovaný rozdíl středních hodnot (resp. mediánů) kapacit akumulátorů po 100 nabíjecích cyklech a všech výrobců statisticky významný na hladině významnosti 5%. Pokud ano, zjistěte, zda lze některé skupiny výrobců označit (z hlediska kapacit akumulátorů po 100 cyklech) za homogenní. (Nezapomeňte na ověření předpokladů pro použití zvoleného testu.)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5417D9" w:rsidRDefault="007324C2">
      <w:pPr>
        <w:jc w:val="both"/>
      </w:pPr>
      <w:r>
        <w:t>U každého z akumulátorů zjistěte, zda kapacita po 100 nabíjecích cyklech poklesla o více než 10 % původní kapacity (po 5 cyklech).</w:t>
      </w:r>
      <w:r w:rsidR="00EE6990">
        <w:t xml:space="preserve"> (</w:t>
      </w:r>
      <w:r w:rsidR="00BA3895">
        <w:t>D</w:t>
      </w:r>
      <w:bookmarkStart w:id="0" w:name="_GoBack"/>
      <w:bookmarkEnd w:id="0"/>
      <w:r w:rsidR="00EE6990">
        <w:t xml:space="preserve">efinujte si novou dichotomickou proměnnou, která bude nabývat hodnot </w:t>
      </w:r>
      <w:r w:rsidR="00EE6990">
        <w:rPr>
          <w:lang w:val="en-US"/>
        </w:rPr>
        <w:t>{ANO, NE}</w:t>
      </w:r>
      <w:r w:rsidR="00EE6990">
        <w:t>.)</w:t>
      </w:r>
      <w:r>
        <w:t xml:space="preserve"> </w:t>
      </w:r>
    </w:p>
    <w:p w:rsidR="005417D9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Srovnejte četnosti poklesu kapacity akumulátorů o více než 10% pro výrobce A, B, C, D. Výsledky prezentujte pomocí k</w:t>
      </w:r>
      <w:r w:rsidR="00996468">
        <w:t xml:space="preserve">ontingenční tabulky, </w:t>
      </w:r>
      <w:r>
        <w:t>vhodného grafu</w:t>
      </w:r>
      <w:r w:rsidR="00996468">
        <w:t xml:space="preserve"> a vhodné míry kontingence</w:t>
      </w:r>
      <w:r>
        <w:t>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5417D9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i 95% intervalový odhad pravděpodobnosti poklesu kapacity akumulátorů o více než 10% pro výrobce B.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i 95% intervalový odhad relativního rizika poklesu kapacity akumulátoru o více než 10% pro „nejhoršího</w:t>
      </w:r>
      <w:r w:rsidR="00996468">
        <w:t>“</w:t>
      </w:r>
      <w:r>
        <w:t xml:space="preserve"> výrobce</w:t>
      </w:r>
      <w:r w:rsidR="00996468">
        <w:t xml:space="preserve"> (vzhledem k „nejlepšímu“ výrobci).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996468" w:rsidRDefault="0099646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lastRenderedPageBreak/>
        <w:t>Určete bodový i 95% intervalový odhad poměru šancí poklesu kapacity akumulátoru o více než 10% pro „nejhoršího“ výrobce (vzhledem k „nejlepšímu“ výrobci).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46288A" w:rsidRDefault="00996468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Pomocí chí-kvadrát testu nezávislosti</w:t>
      </w:r>
      <w:r w:rsidR="007324C2">
        <w:t xml:space="preserve"> rozhodněte, jestli pravděpodobnost poklesu kapacity  o více než 10 % závisí </w:t>
      </w:r>
      <w:r>
        <w:t xml:space="preserve">statisticky významně </w:t>
      </w:r>
      <w:r w:rsidR="007324C2">
        <w:t>na tom, od kterého  výrobce akumulátor pochází.</w:t>
      </w:r>
    </w:p>
    <w:p w:rsidR="0046288A" w:rsidRDefault="0046288A">
      <w:pPr>
        <w:jc w:val="both"/>
      </w:pP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</w:t>
      </w:r>
      <w:proofErr w:type="spellStart"/>
      <w:r w:rsidRPr="005B6FE5">
        <w:rPr>
          <w:i/>
        </w:rPr>
        <w:t>neparametrický</w:t>
      </w:r>
      <w:proofErr w:type="spellEnd"/>
      <w:r w:rsidRPr="005B6FE5">
        <w:rPr>
          <w:i/>
        </w:rPr>
        <w:t xml:space="preserve">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 xml:space="preserve">Jak ověřit </w:t>
      </w:r>
      <w:proofErr w:type="spellStart"/>
      <w:r w:rsidRPr="005B6FE5">
        <w:t>homoskedasticitu</w:t>
      </w:r>
      <w:proofErr w:type="spellEnd"/>
      <w:r w:rsidRPr="005B6FE5">
        <w:t xml:space="preserve"> (shodu rozptylů)?</w:t>
      </w: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</w:t>
      </w:r>
      <w:proofErr w:type="spellStart"/>
      <w:r w:rsidRPr="005B6FE5">
        <w:rPr>
          <w:i/>
        </w:rPr>
        <w:t>neparametrický</w:t>
      </w:r>
      <w:proofErr w:type="spellEnd"/>
      <w:r w:rsidRPr="005B6FE5">
        <w:rPr>
          <w:i/>
        </w:rPr>
        <w:t xml:space="preserve">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68" w:rsidRDefault="00AC4368">
      <w:pPr>
        <w:spacing w:after="0" w:line="240" w:lineRule="auto"/>
      </w:pPr>
      <w:r>
        <w:separator/>
      </w:r>
    </w:p>
  </w:endnote>
  <w:endnote w:type="continuationSeparator" w:id="0">
    <w:p w:rsidR="00AC4368" w:rsidRDefault="00A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63" w:rsidRDefault="007324C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A3895">
      <w:rPr>
        <w:noProof/>
      </w:rPr>
      <w:t>11</w:t>
    </w:r>
    <w:r>
      <w:fldChar w:fldCharType="end"/>
    </w:r>
  </w:p>
  <w:p w:rsidR="003D6863" w:rsidRDefault="00AC4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68" w:rsidRDefault="00AC43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4368" w:rsidRDefault="00A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63" w:rsidRDefault="009E6597">
    <w:pPr>
      <w:pStyle w:val="Zhlav"/>
    </w:pPr>
    <w:r>
      <w:t>Jméno</w:t>
    </w:r>
    <w:r w:rsidR="007324C2">
      <w:t xml:space="preserve">: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A"/>
    <w:rsid w:val="000626EC"/>
    <w:rsid w:val="00084848"/>
    <w:rsid w:val="00130FC2"/>
    <w:rsid w:val="001D463F"/>
    <w:rsid w:val="00222E46"/>
    <w:rsid w:val="002B4EC3"/>
    <w:rsid w:val="0046288A"/>
    <w:rsid w:val="005417D9"/>
    <w:rsid w:val="006742BD"/>
    <w:rsid w:val="007324C2"/>
    <w:rsid w:val="00996468"/>
    <w:rsid w:val="009A6E5D"/>
    <w:rsid w:val="009E6597"/>
    <w:rsid w:val="00AC4368"/>
    <w:rsid w:val="00BA3895"/>
    <w:rsid w:val="00D76E67"/>
    <w:rsid w:val="00E85A8F"/>
    <w:rsid w:val="00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F4C8"/>
  <w15:docId w15:val="{DA44C474-B1F1-4D55-BFCC-A6FC01BC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Pr>
      <w:rFonts w:eastAsia="Times New Roman"/>
      <w:lang w:eastAsia="cs-CZ"/>
    </w:rPr>
  </w:style>
  <w:style w:type="character" w:customStyle="1" w:styleId="outputtext">
    <w:name w:val="outputtext"/>
    <w:basedOn w:val="Standardnpsmoodstavce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styleId="Zstupntext">
    <w:name w:val="Placeholder Text"/>
    <w:basedOn w:val="Standardnpsmoodstav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Martina L.</cp:lastModifiedBy>
  <cp:revision>2</cp:revision>
  <cp:lastPrinted>2016-03-07T13:28:00Z</cp:lastPrinted>
  <dcterms:created xsi:type="dcterms:W3CDTF">2017-01-16T12:29:00Z</dcterms:created>
  <dcterms:modified xsi:type="dcterms:W3CDTF">2017-01-16T12:29:00Z</dcterms:modified>
</cp:coreProperties>
</file>